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BGYS.PL.01</w:t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BİLGİ GÜVENLİĞİ POLİTİKASI</w:t>
      </w:r>
      <w:r/>
    </w:p>
    <w:p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tabs>
          <w:tab w:val="center" w:pos="4536" w:leader="none"/>
        </w:tabs>
        <w:rPr>
          <w:rFonts w:cstheme="minorHAnsi"/>
        </w:rPr>
        <w:sectPr>
          <w:headerReference w:type="default" r:id="rId9"/>
          <w:headerReference w:type="even" r:id="rId10"/>
          <w:headerReference w:type="first" r:id="rId11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color w:val="auto"/>
          <w:sz w:val="24"/>
          <w:szCs w:val="22"/>
          <w:lang w:eastAsia="en-US"/>
        </w:rPr>
      </w:sdtPr>
      <w:sdtContent>
        <w:p>
          <w:pPr>
            <w:pStyle w:val="1008"/>
            <w:rPr>
              <w:rFonts w:asciiTheme="minorHAnsi" w:hAnsiTheme="minorHAnsi" w:cstheme="minorHAnsi"/>
              <w:color w:val="auto"/>
            </w:rPr>
          </w:pPr>
          <w:r>
            <w:rPr>
              <w:rFonts w:asciiTheme="minorHAnsi" w:hAnsiTheme="minorHAnsi" w:cstheme="minorHAnsi"/>
              <w:color w:val="auto"/>
            </w:rPr>
            <w:t xml:space="preserve">İÇİNDEKİLER</w:t>
          </w:r>
          <w:r/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Referansları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Bilgi Güvenliği Politikası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5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1004"/>
              </w:rPr>
            </w:r>
            <w:r>
              <w:rPr>
                <w:rStyle w:val="1004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1004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jc w:val="both"/>
            <w:spacing w:after="0" w:line="276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827"/>
        <w:numPr>
          <w:ilvl w:val="0"/>
          <w:numId w:val="1"/>
        </w:numPr>
        <w:ind w:left="284" w:hanging="284"/>
        <w:spacing w:before="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59" w:name="_Toc1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Amaç</w:t>
      </w:r>
      <w:r/>
      <w:bookmarkEnd w:id="59"/>
      <w:r/>
      <w:r/>
    </w:p>
    <w:p>
      <w:pPr>
        <w:ind w:left="284"/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Bu politika; Üniversitedeki ISO27001 Bilgi Güvenliği Yönetim Sistemi (BGYS) kapsamındaki tüm bilgi varlıklarının gizlilik, bütünlük ve erişilebilirlik açısından güvenliğinin sağlanmasını amaçlamaktadır.</w:t>
      </w:r>
      <w:r/>
    </w:p>
    <w:p>
      <w:pPr>
        <w:pStyle w:val="827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0" w:name="_Toc2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Kapsam</w:t>
      </w:r>
      <w:r/>
      <w:bookmarkEnd w:id="60"/>
      <w:r/>
      <w:r/>
    </w:p>
    <w:p>
      <w:p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Bu dokümanın kapsamı, Kurum bilgi güvenliği kapsamı dokümanında belirtilen tüm bilgi varlıklarını ve bilgi varlıklarının güvenliğini kapsamaktadır.</w:t>
      </w:r>
      <w:r/>
    </w:p>
    <w:p>
      <w:pPr>
        <w:pStyle w:val="827"/>
        <w:numPr>
          <w:ilvl w:val="0"/>
          <w:numId w:val="1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1" w:name="_Toc3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Referansları</w:t>
      </w:r>
      <w:r/>
      <w:bookmarkEnd w:id="61"/>
      <w:r/>
      <w:r/>
    </w:p>
    <w:tbl>
      <w:tblPr>
        <w:tblW w:w="8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798"/>
      </w:tblGrid>
      <w:tr>
        <w:trPr>
          <w:jc w:val="center"/>
        </w:trPr>
        <w:tc>
          <w:tcPr>
            <w:tcW w:w="87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tcW w:w="87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5.1 - Liderlik ve bağlılık</w:t>
            </w:r>
            <w:r/>
          </w:p>
        </w:tc>
      </w:tr>
      <w:tr>
        <w:trPr>
          <w:jc w:val="center"/>
          <w:trHeight w:val="397"/>
        </w:trPr>
        <w:tc>
          <w:tcPr>
            <w:tcW w:w="87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5.2</w:t>
            </w:r>
            <w:r>
              <w:rPr>
                <w:rFonts w:cstheme="minorHAnsi"/>
              </w:rPr>
              <w:t xml:space="preserve"> -  </w:t>
            </w:r>
            <w:r>
              <w:rPr>
                <w:rFonts w:cstheme="minorHAnsi"/>
              </w:rPr>
              <w:t xml:space="preserve">Politika</w:t>
            </w:r>
            <w:r/>
          </w:p>
        </w:tc>
      </w:tr>
      <w:tr>
        <w:trPr>
          <w:jc w:val="center"/>
          <w:trHeight w:val="397"/>
        </w:trPr>
        <w:tc>
          <w:tcPr>
            <w:tcW w:w="87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5.1 - Bilgi güvenliği için politikalar</w:t>
            </w:r>
            <w:r/>
          </w:p>
        </w:tc>
      </w:tr>
    </w:tbl>
    <w:p>
      <w:pPr>
        <w:rPr>
          <w:rFonts w:cstheme="minorHAnsi"/>
          <w:lang w:eastAsia="tr-TR"/>
        </w:rPr>
      </w:pPr>
      <w:r/>
      <w:bookmarkStart w:id="8" w:name="_GoBack"/>
      <w:r/>
      <w:bookmarkEnd w:id="8"/>
      <w:r/>
      <w:r/>
    </w:p>
    <w:p>
      <w:pPr>
        <w:pStyle w:val="827"/>
        <w:numPr>
          <w:ilvl w:val="0"/>
          <w:numId w:val="1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2" w:name="_Toc4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Kısaltmalar ve Tanımlar</w:t>
      </w:r>
      <w:r/>
      <w:bookmarkEnd w:id="62"/>
      <w:r/>
      <w:r/>
    </w:p>
    <w:p>
      <w:pPr>
        <w:pStyle w:val="1007"/>
        <w:ind w:left="142"/>
        <w:rPr>
          <w:rFonts w:cstheme="minorHAnsi"/>
        </w:rPr>
      </w:pPr>
      <w:r>
        <w:rPr>
          <w:rFonts w:cstheme="minorHAnsi"/>
          <w:b/>
        </w:rPr>
        <w:t xml:space="preserve">Bilgi:</w:t>
      </w:r>
      <w:r>
        <w:rPr>
          <w:rFonts w:cstheme="minorHAnsi"/>
        </w:rPr>
        <w:t xml:space="preserve"> Kuruluş için değeri olan ve uygun şekilde korunması gereken varlıktır.</w:t>
      </w:r>
      <w:r/>
    </w:p>
    <w:p>
      <w:pPr>
        <w:pStyle w:val="1007"/>
        <w:ind w:left="142"/>
        <w:rPr>
          <w:rFonts w:cstheme="minorHAnsi"/>
        </w:rPr>
      </w:pPr>
      <w:r>
        <w:rPr>
          <w:rFonts w:cstheme="minorHAnsi"/>
          <w:b/>
        </w:rPr>
        <w:t xml:space="preserve">Bilgi güvenliği</w:t>
      </w:r>
      <w:r>
        <w:rPr>
          <w:rFonts w:cstheme="minorHAnsi"/>
        </w:rPr>
        <w:t xml:space="preserve">: Bilgiye dair gizliliği, bütünlüğü ve erişilebilirliğini sağlamaktır.</w:t>
      </w:r>
      <w:r/>
    </w:p>
    <w:p>
      <w:pPr>
        <w:pStyle w:val="1007"/>
        <w:ind w:left="142"/>
        <w:rPr>
          <w:rFonts w:cstheme="minorHAnsi"/>
        </w:rPr>
      </w:pPr>
      <w:r>
        <w:rPr>
          <w:rFonts w:cstheme="minorHAnsi"/>
          <w:b/>
        </w:rPr>
        <w:t xml:space="preserve">Gizlilik:</w:t>
      </w:r>
      <w:r>
        <w:rPr>
          <w:rFonts w:cstheme="minorHAnsi"/>
        </w:rPr>
        <w:t xml:space="preserve"> Bilginin sadece erişim yetkisi verilmiş kişilere erişilebilir olduğunu garanti etmektir.</w:t>
      </w:r>
      <w:r/>
    </w:p>
    <w:p>
      <w:pPr>
        <w:pStyle w:val="1007"/>
        <w:ind w:left="142"/>
        <w:rPr>
          <w:rFonts w:cstheme="minorHAnsi"/>
        </w:rPr>
      </w:pPr>
      <w:r>
        <w:rPr>
          <w:rFonts w:cstheme="minorHAnsi"/>
          <w:b/>
        </w:rPr>
        <w:t xml:space="preserve">Bütünlük:</w:t>
      </w:r>
      <w:r>
        <w:rPr>
          <w:rFonts w:cstheme="minorHAnsi"/>
        </w:rPr>
        <w:t xml:space="preserve"> Bilginin ve işleme yöntemlerinin doğruluğunu ve yetkisiz değiştirilememesini temin etmektir.</w:t>
      </w:r>
      <w:r/>
    </w:p>
    <w:p>
      <w:pPr>
        <w:pStyle w:val="1007"/>
        <w:ind w:left="142"/>
        <w:rPr>
          <w:rFonts w:cstheme="minorHAnsi"/>
          <w:highlight w:val="none"/>
        </w:rPr>
      </w:pPr>
      <w:r>
        <w:rPr>
          <w:rFonts w:cstheme="minorHAnsi"/>
          <w:b/>
        </w:rPr>
        <w:t xml:space="preserve">Erişilebilirlik:</w:t>
      </w:r>
      <w:r>
        <w:rPr>
          <w:rFonts w:cstheme="minorHAnsi"/>
        </w:rPr>
        <w:t xml:space="preserve"> Yetkili kullanıcıların, gerek duyulduğunda bilgiye ve ilişkili kaynaklara en hızlı şekilde erişebileceklerini garanti etmektir.</w:t>
      </w:r>
      <w:r/>
    </w:p>
    <w:p>
      <w:pPr>
        <w:pStyle w:val="1007"/>
        <w:ind w:left="142"/>
        <w:rPr>
          <w:rFonts w:cstheme="minorHAnsi"/>
          <w:lang w:eastAsia="tr-TR"/>
        </w:rPr>
      </w:pPr>
      <w:r>
        <w:rPr>
          <w:rFonts w:cstheme="minorHAnsi"/>
          <w:b/>
          <w:bCs/>
          <w:highlight w:val="none"/>
        </w:rPr>
        <w:t xml:space="preserve">BGYS:</w:t>
      </w:r>
      <w:r>
        <w:rPr>
          <w:rFonts w:cstheme="minorHAnsi"/>
          <w:highlight w:val="none"/>
        </w:rPr>
        <w:t xml:space="preserve">Bilgi Güvenliği Yönetim Sistemi</w:t>
      </w:r>
      <w:r>
        <w:rPr>
          <w:rFonts w:cstheme="minorHAnsi"/>
          <w:highlight w:val="none"/>
        </w:rPr>
      </w:r>
    </w:p>
    <w:p>
      <w:pPr>
        <w:pStyle w:val="827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3" w:name="_Toc5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Sorumluluk ve Yetki</w:t>
      </w:r>
      <w:r/>
      <w:bookmarkEnd w:id="63"/>
      <w:r/>
      <w:r/>
    </w:p>
    <w:tbl>
      <w:tblPr>
        <w:tblStyle w:val="1009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827"/>
        <w:ind w:left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pStyle w:val="827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4" w:name="_Toc6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Bilgi Güvenliği Politikası</w:t>
      </w:r>
      <w:r/>
      <w:bookmarkEnd w:id="64"/>
      <w:r/>
      <w:r/>
    </w:p>
    <w:p>
      <w:pPr>
        <w:ind w:firstLine="360"/>
        <w:jc w:val="both"/>
        <w:spacing w:line="360" w:lineRule="auto"/>
        <w:rPr>
          <w:rFonts w:cstheme="minorHAnsi"/>
        </w:rPr>
      </w:pPr>
      <w:r>
        <w:rPr>
          <w:rFonts w:cstheme="minorHAnsi"/>
        </w:rPr>
        <w:t xml:space="preserve">Ankara Sosyal Bilimler Üniversitesi Bilgi Güvenliği Yönetim Sistemi Standardı doğrultusunda;</w:t>
      </w:r>
      <w:r/>
    </w:p>
    <w:p>
      <w:pPr>
        <w:ind w:firstLine="360"/>
        <w:jc w:val="both"/>
        <w:spacing w:line="360" w:lineRule="auto"/>
        <w:rPr>
          <w:rFonts w:cstheme="minorHAnsi"/>
        </w:rPr>
      </w:pPr>
      <w:r>
        <w:rPr>
          <w:rFonts w:cstheme="minorHAnsi"/>
        </w:rPr>
        <w:t xml:space="preserve">Personelin, öğrencilerin, tedarikçilerin ve vatandaşların bilgi varlıklarına güvenli bir şekilde erişimini sağlamayı,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Bilginin gizliliğini, bütünlüğünü ve erişilebilirliğini korumayı,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Bilgi varlıkları üzerinde oluşabilecek riskleri değerlendirmeyi ve yönetmeyi,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Kurumun güvenilirliğini ve itibarını korumayı,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Bilgi güvenliği politikasını uygulamayı,  kontrolünü yapmayı ve ihlali durumunda gerekli görülen yaptırımları uygulamayı,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Tabi olduğu mevzuat ile uluslararası anlaşmalardan doğan yükümlülüklerini karşılamaktan, iç ve dış paydaşlara yönelik kurumsal sorumluluklardan kaynaklanan bilgi güvenliği gereksinimlerini sağlamayı,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İş/hizmet sürekliliğine bilgi güvenliği tehditlerinin etkisini azaltmayı, işin sürekliliği ve sürdürülebilirliğini sağlamayı,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Bilgi Güvenliği Yönetim Sistemi (BGYS) Ekibinin kontrol altyapısı ile bilgi güvenliği seviyesini korumayı ve iyileştirmeyi,</w:t>
      </w:r>
      <w:r/>
    </w:p>
    <w:p>
      <w:pPr>
        <w:pStyle w:val="1007"/>
        <w:numPr>
          <w:ilvl w:val="0"/>
          <w:numId w:val="9"/>
        </w:num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Bilgi güvenliği farkındalığını arttırmak amacıyla yetkinlikleri geliştirecek eğitimleri sağlamayı,</w:t>
      </w:r>
      <w:r/>
    </w:p>
    <w:p>
      <w:pPr>
        <w:contextualSpacing/>
        <w:ind w:firstLine="360"/>
        <w:jc w:val="both"/>
        <w:spacing w:line="360" w:lineRule="auto"/>
        <w:rPr>
          <w:rFonts w:cstheme="minorHAnsi"/>
        </w:rPr>
      </w:pPr>
      <w:r>
        <w:rPr>
          <w:rFonts w:cstheme="minorHAnsi"/>
        </w:rPr>
        <w:t xml:space="preserve">taahhüt eder.</w:t>
      </w:r>
      <w:r/>
    </w:p>
    <w:p>
      <w:pPr>
        <w:pStyle w:val="827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65" w:name="_Toc7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Yaptırım</w:t>
      </w:r>
      <w:r/>
      <w:bookmarkEnd w:id="65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Üniversitede BGYS politika ve prosedürlerine uyulmadığının tespit edilmesi halinde, bu ihlalden sorumlu olan personel, öğrenci ya da 3. taraf için geçerli olan mevzuat ve sözleşmelerde belirlenen yaptırımlar uygulanır. </w:t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12"/>
      <w:footnotePr/>
      <w:endnotePr/>
      <w:type w:val="nextPage"/>
      <w:pgSz w:w="11906" w:h="16838" w:orient="portrait"/>
      <w:pgMar w:top="1417" w:right="1417" w:bottom="993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Symbol">
    <w:panose1 w:val="05010000000000000000"/>
  </w:font>
  <w:font w:name="Calibri">
    <w:panose1 w:val="020F0502020204030204"/>
  </w:font>
  <w:font w:name="Batang">
    <w:panose1 w:val="02020603020101020101"/>
  </w:font>
  <w:font w:name="Arial Narrow">
    <w:panose1 w:val="020B0604020202020204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ascii="Arial Narrow" w:hAnsi="Arial Narrow" w:cs="Arial"/>
              <w:color w:val="00b050"/>
              <w:sz w:val="40"/>
              <w:szCs w:val="40"/>
            </w:rPr>
          </w:pPr>
          <w:r>
            <w:rPr>
              <w:rFonts w:ascii="Arial Narrow" w:hAnsi="Arial Narrow" w:cs="Arial"/>
              <w:sz w:val="36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Times New Roman" w:hAnsi="Times New Roman" w:cs="Times New Roman"/>
              <w:i/>
              <w:sz w:val="16"/>
            </w:rPr>
          </w:pPr>
          <w:r>
            <w:rPr>
              <w:rFonts w:ascii="Times New Roman" w:hAnsi="Times New Roman" w:cs="Times New Roman"/>
              <w:i/>
              <w:sz w:val="16"/>
            </w:rPr>
            <w:t xml:space="preserve">*</w:t>
          </w:r>
          <w:r>
            <w:rPr>
              <w:rFonts w:ascii="Times New Roman" w:hAnsi="Times New Roman" w:cs="Times New Roman"/>
              <w:sz w:val="16"/>
            </w:rPr>
            <w:t xml:space="preserve"> </w:t>
          </w:r>
          <w:r>
            <w:rPr>
              <w:rFonts w:ascii="Times New Roman" w:hAnsi="Times New Roman" w:cs="Times New Roman"/>
              <w:i/>
              <w:sz w:val="16"/>
            </w:rPr>
            <w:t xml:space="preserve">Sadece kuruluş çalışanlarının görebileceği, kuruluş dışı kişilerin görmemesi gereken dokümanlar bu sınıfta yer alır.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Times New Roman" w:hAnsi="Times New Roman" w:cs="Times New Roman"/>
              <w:i/>
              <w:sz w:val="16"/>
            </w:rPr>
            <w:t xml:space="preserve">**</w:t>
          </w:r>
          <w:r>
            <w:rPr>
              <w:rFonts w:ascii="Times New Roman" w:hAnsi="Times New Roman" w:eastAsia="Calibri" w:cs="Times New Roman"/>
              <w:i/>
              <w:sz w:val="16"/>
            </w:rPr>
            <w:t xml:space="preserve"> Elektronik nüsha çıktısı kontrolsüz dokümandır</w:t>
          </w:r>
          <w:r>
            <w:rPr>
              <w:rFonts w:ascii="Times New Roman" w:hAnsi="Times New Roman" w:cs="Times New Roman"/>
              <w:i/>
              <w:sz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125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/>
          <w:bookmarkStart w:id="58" w:name="_Hlk520183360"/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BİLGİ GÜVENLİĞİ POLİTİKASI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15.08.2018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 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Tarihi:</w:t>
          </w:r>
          <w:bookmarkEnd w:id="58"/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 18.11.2024</w:t>
          </w:r>
          <w:r/>
        </w:p>
      </w:tc>
    </w:tr>
  </w:tbl>
  <w:p>
    <w:pPr>
      <w:pStyle w:val="10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isLgl w:val="false"/>
      <w:suff w:val="tab"/>
      <w:lvlText w:val="%2."/>
      <w:lvlJc w:val="righ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b/>
      </w:rPr>
    </w:lvl>
    <w:lvl w:ilvl="1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hint="default" w:ascii="Tahoma" w:hAnsi="Tahoma" w:eastAsia="Times New Roman" w:cs="Tahoma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3">
    <w:name w:val="Heading 3 Char"/>
    <w:basedOn w:val="836"/>
    <w:link w:val="829"/>
    <w:uiPriority w:val="9"/>
    <w:rPr>
      <w:rFonts w:ascii="Arial" w:hAnsi="Arial" w:eastAsia="Arial" w:cs="Arial"/>
      <w:sz w:val="30"/>
      <w:szCs w:val="30"/>
    </w:rPr>
  </w:style>
  <w:style w:type="character" w:styleId="814">
    <w:name w:val="Heading 4 Char"/>
    <w:basedOn w:val="836"/>
    <w:link w:val="830"/>
    <w:uiPriority w:val="9"/>
    <w:rPr>
      <w:rFonts w:ascii="Arial" w:hAnsi="Arial" w:eastAsia="Arial" w:cs="Arial"/>
      <w:b/>
      <w:bCs/>
      <w:sz w:val="26"/>
      <w:szCs w:val="26"/>
    </w:rPr>
  </w:style>
  <w:style w:type="character" w:styleId="815">
    <w:name w:val="Heading 5 Char"/>
    <w:basedOn w:val="836"/>
    <w:link w:val="831"/>
    <w:uiPriority w:val="9"/>
    <w:rPr>
      <w:rFonts w:ascii="Arial" w:hAnsi="Arial" w:eastAsia="Arial" w:cs="Arial"/>
      <w:b/>
      <w:bCs/>
      <w:sz w:val="24"/>
      <w:szCs w:val="24"/>
    </w:rPr>
  </w:style>
  <w:style w:type="character" w:styleId="816">
    <w:name w:val="Heading 6 Char"/>
    <w:basedOn w:val="836"/>
    <w:link w:val="832"/>
    <w:uiPriority w:val="9"/>
    <w:rPr>
      <w:rFonts w:ascii="Arial" w:hAnsi="Arial" w:eastAsia="Arial" w:cs="Arial"/>
      <w:b/>
      <w:bCs/>
      <w:sz w:val="22"/>
      <w:szCs w:val="22"/>
    </w:rPr>
  </w:style>
  <w:style w:type="character" w:styleId="817">
    <w:name w:val="Heading 7 Char"/>
    <w:basedOn w:val="836"/>
    <w:link w:val="8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8">
    <w:name w:val="Heading 8 Char"/>
    <w:basedOn w:val="836"/>
    <w:link w:val="834"/>
    <w:uiPriority w:val="9"/>
    <w:rPr>
      <w:rFonts w:ascii="Arial" w:hAnsi="Arial" w:eastAsia="Arial" w:cs="Arial"/>
      <w:i/>
      <w:iCs/>
      <w:sz w:val="22"/>
      <w:szCs w:val="22"/>
    </w:rPr>
  </w:style>
  <w:style w:type="character" w:styleId="819">
    <w:name w:val="Heading 9 Char"/>
    <w:basedOn w:val="836"/>
    <w:link w:val="835"/>
    <w:uiPriority w:val="9"/>
    <w:rPr>
      <w:rFonts w:ascii="Arial" w:hAnsi="Arial" w:eastAsia="Arial" w:cs="Arial"/>
      <w:i/>
      <w:iCs/>
      <w:sz w:val="21"/>
      <w:szCs w:val="21"/>
    </w:rPr>
  </w:style>
  <w:style w:type="character" w:styleId="820">
    <w:name w:val="Title Char"/>
    <w:basedOn w:val="836"/>
    <w:link w:val="849"/>
    <w:uiPriority w:val="10"/>
    <w:rPr>
      <w:sz w:val="48"/>
      <w:szCs w:val="48"/>
    </w:rPr>
  </w:style>
  <w:style w:type="character" w:styleId="821">
    <w:name w:val="Subtitle Char"/>
    <w:basedOn w:val="836"/>
    <w:link w:val="851"/>
    <w:uiPriority w:val="11"/>
    <w:rPr>
      <w:sz w:val="24"/>
      <w:szCs w:val="24"/>
    </w:rPr>
  </w:style>
  <w:style w:type="character" w:styleId="822">
    <w:name w:val="Quote Char"/>
    <w:link w:val="853"/>
    <w:uiPriority w:val="29"/>
    <w:rPr>
      <w:i/>
    </w:rPr>
  </w:style>
  <w:style w:type="character" w:styleId="823">
    <w:name w:val="Intense Quote Char"/>
    <w:link w:val="855"/>
    <w:uiPriority w:val="30"/>
    <w:rPr>
      <w:i/>
    </w:rPr>
  </w:style>
  <w:style w:type="character" w:styleId="824">
    <w:name w:val="Footnote Text Char"/>
    <w:link w:val="986"/>
    <w:uiPriority w:val="99"/>
    <w:rPr>
      <w:sz w:val="18"/>
    </w:rPr>
  </w:style>
  <w:style w:type="character" w:styleId="825">
    <w:name w:val="Endnote Text Char"/>
    <w:link w:val="989"/>
    <w:uiPriority w:val="99"/>
    <w:rPr>
      <w:sz w:val="20"/>
    </w:rPr>
  </w:style>
  <w:style w:type="paragraph" w:styleId="826" w:default="1">
    <w:name w:val="Normal"/>
    <w:qFormat/>
  </w:style>
  <w:style w:type="paragraph" w:styleId="827">
    <w:name w:val="Heading 1"/>
    <w:basedOn w:val="826"/>
    <w:next w:val="826"/>
    <w:link w:val="1000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828">
    <w:name w:val="Heading 2"/>
    <w:basedOn w:val="826"/>
    <w:next w:val="826"/>
    <w:link w:val="1001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829">
    <w:name w:val="Heading 3"/>
    <w:basedOn w:val="826"/>
    <w:next w:val="826"/>
    <w:link w:val="8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30">
    <w:name w:val="Heading 4"/>
    <w:basedOn w:val="826"/>
    <w:next w:val="826"/>
    <w:link w:val="8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1">
    <w:name w:val="Heading 5"/>
    <w:basedOn w:val="826"/>
    <w:next w:val="826"/>
    <w:link w:val="8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2">
    <w:name w:val="Heading 6"/>
    <w:basedOn w:val="826"/>
    <w:next w:val="826"/>
    <w:link w:val="8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33">
    <w:name w:val="Heading 7"/>
    <w:basedOn w:val="826"/>
    <w:next w:val="826"/>
    <w:link w:val="8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34">
    <w:name w:val="Heading 8"/>
    <w:basedOn w:val="826"/>
    <w:next w:val="826"/>
    <w:link w:val="8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35">
    <w:name w:val="Heading 9"/>
    <w:basedOn w:val="826"/>
    <w:next w:val="826"/>
    <w:link w:val="8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character" w:styleId="839" w:customStyle="1">
    <w:name w:val="Heading 1 Char"/>
    <w:basedOn w:val="836"/>
    <w:uiPriority w:val="9"/>
    <w:rPr>
      <w:rFonts w:ascii="Arial" w:hAnsi="Arial" w:eastAsia="Arial" w:cs="Arial"/>
      <w:sz w:val="40"/>
      <w:szCs w:val="40"/>
    </w:rPr>
  </w:style>
  <w:style w:type="character" w:styleId="840" w:customStyle="1">
    <w:name w:val="Heading 2 Char"/>
    <w:basedOn w:val="836"/>
    <w:uiPriority w:val="9"/>
    <w:rPr>
      <w:rFonts w:ascii="Arial" w:hAnsi="Arial" w:eastAsia="Arial" w:cs="Arial"/>
      <w:sz w:val="34"/>
    </w:rPr>
  </w:style>
  <w:style w:type="character" w:styleId="841" w:customStyle="1">
    <w:name w:val="Başlık 3 Char"/>
    <w:basedOn w:val="836"/>
    <w:link w:val="829"/>
    <w:uiPriority w:val="9"/>
    <w:rPr>
      <w:rFonts w:ascii="Arial" w:hAnsi="Arial" w:eastAsia="Arial" w:cs="Arial"/>
      <w:sz w:val="30"/>
      <w:szCs w:val="30"/>
    </w:rPr>
  </w:style>
  <w:style w:type="character" w:styleId="842" w:customStyle="1">
    <w:name w:val="Başlık 4 Char"/>
    <w:basedOn w:val="836"/>
    <w:link w:val="830"/>
    <w:uiPriority w:val="9"/>
    <w:rPr>
      <w:rFonts w:ascii="Arial" w:hAnsi="Arial" w:eastAsia="Arial" w:cs="Arial"/>
      <w:b/>
      <w:bCs/>
      <w:sz w:val="26"/>
      <w:szCs w:val="26"/>
    </w:rPr>
  </w:style>
  <w:style w:type="character" w:styleId="843" w:customStyle="1">
    <w:name w:val="Başlık 5 Char"/>
    <w:basedOn w:val="836"/>
    <w:link w:val="831"/>
    <w:uiPriority w:val="9"/>
    <w:rPr>
      <w:rFonts w:ascii="Arial" w:hAnsi="Arial" w:eastAsia="Arial" w:cs="Arial"/>
      <w:b/>
      <w:bCs/>
      <w:sz w:val="24"/>
      <w:szCs w:val="24"/>
    </w:rPr>
  </w:style>
  <w:style w:type="character" w:styleId="844" w:customStyle="1">
    <w:name w:val="Başlık 6 Char"/>
    <w:basedOn w:val="836"/>
    <w:link w:val="832"/>
    <w:uiPriority w:val="9"/>
    <w:rPr>
      <w:rFonts w:ascii="Arial" w:hAnsi="Arial" w:eastAsia="Arial" w:cs="Arial"/>
      <w:b/>
      <w:bCs/>
      <w:sz w:val="22"/>
      <w:szCs w:val="22"/>
    </w:rPr>
  </w:style>
  <w:style w:type="character" w:styleId="845" w:customStyle="1">
    <w:name w:val="Başlık 7 Char"/>
    <w:basedOn w:val="836"/>
    <w:link w:val="8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6" w:customStyle="1">
    <w:name w:val="Başlık 8 Char"/>
    <w:basedOn w:val="836"/>
    <w:link w:val="834"/>
    <w:uiPriority w:val="9"/>
    <w:rPr>
      <w:rFonts w:ascii="Arial" w:hAnsi="Arial" w:eastAsia="Arial" w:cs="Arial"/>
      <w:i/>
      <w:iCs/>
      <w:sz w:val="22"/>
      <w:szCs w:val="22"/>
    </w:rPr>
  </w:style>
  <w:style w:type="character" w:styleId="847" w:customStyle="1">
    <w:name w:val="Başlık 9 Char"/>
    <w:basedOn w:val="836"/>
    <w:link w:val="835"/>
    <w:uiPriority w:val="9"/>
    <w:rPr>
      <w:rFonts w:ascii="Arial" w:hAnsi="Arial" w:eastAsia="Arial" w:cs="Arial"/>
      <w:i/>
      <w:iCs/>
      <w:sz w:val="21"/>
      <w:szCs w:val="21"/>
    </w:rPr>
  </w:style>
  <w:style w:type="paragraph" w:styleId="848">
    <w:name w:val="No Spacing"/>
    <w:uiPriority w:val="1"/>
    <w:qFormat/>
    <w:pPr>
      <w:spacing w:after="0" w:line="240" w:lineRule="auto"/>
    </w:pPr>
  </w:style>
  <w:style w:type="paragraph" w:styleId="849">
    <w:name w:val="Title"/>
    <w:basedOn w:val="826"/>
    <w:next w:val="826"/>
    <w:link w:val="8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0" w:customStyle="1">
    <w:name w:val="Konu Başlığı Char"/>
    <w:basedOn w:val="836"/>
    <w:link w:val="849"/>
    <w:uiPriority w:val="10"/>
    <w:rPr>
      <w:sz w:val="48"/>
      <w:szCs w:val="48"/>
    </w:rPr>
  </w:style>
  <w:style w:type="paragraph" w:styleId="851">
    <w:name w:val="Subtitle"/>
    <w:basedOn w:val="826"/>
    <w:next w:val="826"/>
    <w:link w:val="852"/>
    <w:uiPriority w:val="11"/>
    <w:qFormat/>
    <w:pPr>
      <w:spacing w:before="200" w:after="200"/>
    </w:pPr>
    <w:rPr>
      <w:sz w:val="24"/>
      <w:szCs w:val="24"/>
    </w:rPr>
  </w:style>
  <w:style w:type="character" w:styleId="852" w:customStyle="1">
    <w:name w:val="Altyazı Char"/>
    <w:basedOn w:val="836"/>
    <w:link w:val="851"/>
    <w:uiPriority w:val="11"/>
    <w:rPr>
      <w:sz w:val="24"/>
      <w:szCs w:val="24"/>
    </w:rPr>
  </w:style>
  <w:style w:type="paragraph" w:styleId="853">
    <w:name w:val="Quote"/>
    <w:basedOn w:val="826"/>
    <w:next w:val="826"/>
    <w:link w:val="854"/>
    <w:uiPriority w:val="29"/>
    <w:qFormat/>
    <w:pPr>
      <w:ind w:left="720" w:right="720"/>
    </w:pPr>
    <w:rPr>
      <w:i/>
    </w:rPr>
  </w:style>
  <w:style w:type="character" w:styleId="854" w:customStyle="1">
    <w:name w:val="Alıntı Char"/>
    <w:link w:val="853"/>
    <w:uiPriority w:val="29"/>
    <w:rPr>
      <w:i/>
    </w:rPr>
  </w:style>
  <w:style w:type="paragraph" w:styleId="855">
    <w:name w:val="Intense Quote"/>
    <w:basedOn w:val="826"/>
    <w:next w:val="826"/>
    <w:link w:val="85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6" w:customStyle="1">
    <w:name w:val="Güçlü Alıntı Char"/>
    <w:link w:val="855"/>
    <w:uiPriority w:val="30"/>
    <w:rPr>
      <w:i/>
    </w:rPr>
  </w:style>
  <w:style w:type="character" w:styleId="857" w:customStyle="1">
    <w:name w:val="Header Char"/>
    <w:basedOn w:val="836"/>
    <w:uiPriority w:val="99"/>
  </w:style>
  <w:style w:type="character" w:styleId="858" w:customStyle="1">
    <w:name w:val="Footer Char"/>
    <w:basedOn w:val="836"/>
    <w:uiPriority w:val="99"/>
  </w:style>
  <w:style w:type="paragraph" w:styleId="859">
    <w:name w:val="Caption"/>
    <w:basedOn w:val="826"/>
    <w:next w:val="82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60" w:customStyle="1">
    <w:name w:val="Caption Char"/>
    <w:uiPriority w:val="99"/>
  </w:style>
  <w:style w:type="table" w:styleId="861" w:customStyle="1">
    <w:name w:val="Table Grid Light"/>
    <w:basedOn w:val="83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2">
    <w:name w:val="Plain Table 1"/>
    <w:basedOn w:val="83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3">
    <w:name w:val="Plain Table 2"/>
    <w:basedOn w:val="83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4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5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7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9" w:customStyle="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90" w:customStyle="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91" w:customStyle="1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92" w:customStyle="1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93" w:customStyle="1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94" w:customStyle="1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95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02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3" w:customStyle="1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04" w:customStyle="1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5" w:customStyle="1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6" w:customStyle="1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7" w:customStyle="1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8" w:customStyle="1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9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0" w:customStyle="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0B7E1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0B7E1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1" w:customStyle="1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2" w:customStyle="1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3" w:customStyle="1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4" w:customStyle="1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2C6E7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A2C6E7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5" w:customStyle="1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6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4" w:customStyle="1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25" w:customStyle="1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26" w:customStyle="1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27" w:customStyle="1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28" w:customStyle="1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29" w:customStyle="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30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6" w:customStyle="1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7" w:customStyle="1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8" w:customStyle="1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9" w:customStyle="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0" w:customStyle="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1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2" w:customStyle="1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53" w:customStyle="1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54" w:customStyle="1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55" w:customStyle="1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56" w:customStyle="1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57" w:customStyle="1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58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9" w:customStyle="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0" w:customStyle="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1" w:customStyle="1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2" w:customStyle="1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3" w:customStyle="1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BC2E5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BC2E5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4" w:customStyle="1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5" w:customStyle="1">
    <w:name w:val="Lined - Accent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6" w:customStyle="1">
    <w:name w:val="Lined - Accent 1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7" w:customStyle="1">
    <w:name w:val="Lined - Accent 2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8" w:customStyle="1">
    <w:name w:val="Lined - Accent 3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9" w:customStyle="1">
    <w:name w:val="Lined - Accent 4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0" w:customStyle="1">
    <w:name w:val="Lined - Accent 5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71" w:customStyle="1">
    <w:name w:val="Lined - Accent 6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2" w:customStyle="1">
    <w:name w:val="Bordered &amp; Lined - Accent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3" w:customStyle="1">
    <w:name w:val="Bordered &amp; Lined - Accent 1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74" w:customStyle="1">
    <w:name w:val="Bordered &amp; Lined - Accent 2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75" w:customStyle="1">
    <w:name w:val="Bordered &amp; Lined - Accent 3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6" w:customStyle="1">
    <w:name w:val="Bordered &amp; Lined - Accent 4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7" w:customStyle="1">
    <w:name w:val="Bordered &amp; Lined - Accent 5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78" w:customStyle="1">
    <w:name w:val="Bordered &amp; Lined - Accent 6"/>
    <w:basedOn w:val="837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9" w:customStyle="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80" w:customStyle="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81" w:customStyle="1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82" w:customStyle="1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83" w:customStyle="1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84" w:customStyle="1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85" w:customStyle="1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86">
    <w:name w:val="footnote text"/>
    <w:basedOn w:val="826"/>
    <w:link w:val="987"/>
    <w:uiPriority w:val="99"/>
    <w:semiHidden/>
    <w:unhideWhenUsed/>
    <w:pPr>
      <w:spacing w:after="40" w:line="240" w:lineRule="auto"/>
    </w:pPr>
    <w:rPr>
      <w:sz w:val="18"/>
    </w:rPr>
  </w:style>
  <w:style w:type="character" w:styleId="987" w:customStyle="1">
    <w:name w:val="Dipnot Metni Char"/>
    <w:link w:val="986"/>
    <w:uiPriority w:val="99"/>
    <w:rPr>
      <w:sz w:val="18"/>
    </w:rPr>
  </w:style>
  <w:style w:type="character" w:styleId="988">
    <w:name w:val="footnote reference"/>
    <w:basedOn w:val="836"/>
    <w:uiPriority w:val="99"/>
    <w:unhideWhenUsed/>
    <w:rPr>
      <w:vertAlign w:val="superscript"/>
    </w:rPr>
  </w:style>
  <w:style w:type="paragraph" w:styleId="989">
    <w:name w:val="endnote text"/>
    <w:basedOn w:val="826"/>
    <w:link w:val="990"/>
    <w:uiPriority w:val="99"/>
    <w:semiHidden/>
    <w:unhideWhenUsed/>
    <w:pPr>
      <w:spacing w:after="0" w:line="240" w:lineRule="auto"/>
    </w:pPr>
    <w:rPr>
      <w:sz w:val="20"/>
    </w:rPr>
  </w:style>
  <w:style w:type="character" w:styleId="990" w:customStyle="1">
    <w:name w:val="Son Not Metni Char"/>
    <w:link w:val="989"/>
    <w:uiPriority w:val="99"/>
    <w:rPr>
      <w:sz w:val="20"/>
    </w:rPr>
  </w:style>
  <w:style w:type="character" w:styleId="991">
    <w:name w:val="endnote reference"/>
    <w:basedOn w:val="836"/>
    <w:uiPriority w:val="99"/>
    <w:semiHidden/>
    <w:unhideWhenUsed/>
    <w:rPr>
      <w:vertAlign w:val="superscript"/>
    </w:rPr>
  </w:style>
  <w:style w:type="paragraph" w:styleId="992">
    <w:name w:val="toc 3"/>
    <w:basedOn w:val="826"/>
    <w:next w:val="826"/>
    <w:uiPriority w:val="39"/>
    <w:unhideWhenUsed/>
    <w:pPr>
      <w:ind w:left="567"/>
      <w:spacing w:after="57"/>
    </w:pPr>
  </w:style>
  <w:style w:type="paragraph" w:styleId="993">
    <w:name w:val="toc 4"/>
    <w:basedOn w:val="826"/>
    <w:next w:val="826"/>
    <w:uiPriority w:val="39"/>
    <w:unhideWhenUsed/>
    <w:pPr>
      <w:ind w:left="850"/>
      <w:spacing w:after="57"/>
    </w:pPr>
  </w:style>
  <w:style w:type="paragraph" w:styleId="994">
    <w:name w:val="toc 5"/>
    <w:basedOn w:val="826"/>
    <w:next w:val="826"/>
    <w:uiPriority w:val="39"/>
    <w:unhideWhenUsed/>
    <w:pPr>
      <w:ind w:left="1134"/>
      <w:spacing w:after="57"/>
    </w:pPr>
  </w:style>
  <w:style w:type="paragraph" w:styleId="995">
    <w:name w:val="toc 6"/>
    <w:basedOn w:val="826"/>
    <w:next w:val="826"/>
    <w:uiPriority w:val="39"/>
    <w:unhideWhenUsed/>
    <w:pPr>
      <w:ind w:left="1417"/>
      <w:spacing w:after="57"/>
    </w:pPr>
  </w:style>
  <w:style w:type="paragraph" w:styleId="996">
    <w:name w:val="toc 7"/>
    <w:basedOn w:val="826"/>
    <w:next w:val="826"/>
    <w:uiPriority w:val="39"/>
    <w:unhideWhenUsed/>
    <w:pPr>
      <w:ind w:left="1701"/>
      <w:spacing w:after="57"/>
    </w:pPr>
  </w:style>
  <w:style w:type="paragraph" w:styleId="997">
    <w:name w:val="toc 8"/>
    <w:basedOn w:val="826"/>
    <w:next w:val="826"/>
    <w:uiPriority w:val="39"/>
    <w:unhideWhenUsed/>
    <w:pPr>
      <w:ind w:left="1984"/>
      <w:spacing w:after="57"/>
    </w:pPr>
  </w:style>
  <w:style w:type="paragraph" w:styleId="998">
    <w:name w:val="toc 9"/>
    <w:basedOn w:val="826"/>
    <w:next w:val="826"/>
    <w:uiPriority w:val="39"/>
    <w:unhideWhenUsed/>
    <w:pPr>
      <w:ind w:left="2268"/>
      <w:spacing w:after="57"/>
    </w:pPr>
  </w:style>
  <w:style w:type="paragraph" w:styleId="999">
    <w:name w:val="table of figures"/>
    <w:basedOn w:val="826"/>
    <w:next w:val="826"/>
    <w:uiPriority w:val="99"/>
    <w:unhideWhenUsed/>
    <w:pPr>
      <w:spacing w:after="0"/>
    </w:pPr>
  </w:style>
  <w:style w:type="character" w:styleId="1000" w:customStyle="1">
    <w:name w:val="Başlık 1 Char"/>
    <w:basedOn w:val="836"/>
    <w:link w:val="827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1001" w:customStyle="1">
    <w:name w:val="Başlık 2 Char"/>
    <w:basedOn w:val="836"/>
    <w:link w:val="828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1002">
    <w:name w:val="Header"/>
    <w:basedOn w:val="826"/>
    <w:link w:val="1003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03" w:customStyle="1">
    <w:name w:val="Üst Bilgi Char"/>
    <w:basedOn w:val="836"/>
    <w:link w:val="1002"/>
    <w:uiPriority w:val="99"/>
  </w:style>
  <w:style w:type="character" w:styleId="1004">
    <w:name w:val="Hyperlink"/>
    <w:uiPriority w:val="99"/>
    <w:unhideWhenUsed/>
    <w:rPr>
      <w:color w:val="0000ff"/>
      <w:u w:val="single"/>
    </w:rPr>
  </w:style>
  <w:style w:type="paragraph" w:styleId="1005">
    <w:name w:val="toc 1"/>
    <w:basedOn w:val="826"/>
    <w:next w:val="826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06">
    <w:name w:val="toc 2"/>
    <w:basedOn w:val="826"/>
    <w:next w:val="826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07">
    <w:name w:val="List Paragraph"/>
    <w:basedOn w:val="826"/>
    <w:link w:val="1012"/>
    <w:uiPriority w:val="34"/>
    <w:qFormat/>
    <w:pPr>
      <w:contextualSpacing/>
      <w:ind w:left="720"/>
      <w:spacing w:line="256" w:lineRule="auto"/>
    </w:pPr>
  </w:style>
  <w:style w:type="paragraph" w:styleId="1008">
    <w:name w:val="TOC Heading"/>
    <w:basedOn w:val="827"/>
    <w:next w:val="826"/>
    <w:uiPriority w:val="39"/>
    <w:unhideWhenUsed/>
    <w:qFormat/>
    <w:pPr>
      <w:jc w:val="both"/>
      <w:spacing w:before="240" w:line="259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tr-TR"/>
    </w:rPr>
  </w:style>
  <w:style w:type="table" w:styleId="1009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0">
    <w:name w:val="Footer"/>
    <w:basedOn w:val="826"/>
    <w:link w:val="1011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11" w:customStyle="1">
    <w:name w:val="Alt Bilgi Char"/>
    <w:basedOn w:val="836"/>
    <w:link w:val="1010"/>
    <w:uiPriority w:val="99"/>
  </w:style>
  <w:style w:type="character" w:styleId="1012" w:customStyle="1">
    <w:name w:val="Liste Paragraf Char"/>
    <w:basedOn w:val="836"/>
    <w:link w:val="100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7</cp:revision>
  <dcterms:created xsi:type="dcterms:W3CDTF">2024-11-18T09:41:00Z</dcterms:created>
  <dcterms:modified xsi:type="dcterms:W3CDTF">2024-11-21T11:22:39Z</dcterms:modified>
</cp:coreProperties>
</file>