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BGYS.PL.06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ERİŞİM KONTROL POLİTİKASI</w:t>
      </w:r>
      <w:r/>
    </w:p>
    <w:p>
      <w:pPr>
        <w:jc w:val="center"/>
        <w:spacing w:line="360" w:lineRule="auto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footerReference w:type="default" r:id="rId10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color w:val="auto"/>
          <w:sz w:val="24"/>
          <w:szCs w:val="24"/>
          <w:lang w:eastAsia="en-US"/>
        </w:rPr>
      </w:sdtPr>
      <w:sdtContent>
        <w:p>
          <w:pPr>
            <w:pStyle w:val="1008"/>
            <w:spacing w:line="360" w:lineRule="auto"/>
            <w:rPr>
              <w:rFonts w:asciiTheme="minorHAnsi" w:hAnsiTheme="minorHAnsi" w:cstheme="minorHAnsi"/>
              <w:color w:val="auto"/>
              <w:sz w:val="24"/>
              <w:szCs w:val="24"/>
            </w:rPr>
          </w:pPr>
          <w:r>
            <w:rPr>
              <w:rFonts w:asciiTheme="minorHAnsi" w:hAnsiTheme="minorHAnsi" w:cstheme="minorHAnsi"/>
              <w:color w:val="auto"/>
              <w:sz w:val="24"/>
              <w:szCs w:val="24"/>
            </w:rPr>
            <w:t xml:space="preserve">İÇİNDEKİLER</w:t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ISO Referansları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Uygulama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7" w:anchor="_Toc7" w:history="1">
            <w:r>
              <w:rPr>
                <w:rFonts w:eastAsia="Times New Roman" w:asciiTheme="minorHAnsi" w:hAnsiTheme="minorHAnsi" w:cstheme="minorHAnsi"/>
              </w:rPr>
              <w:t xml:space="preserve">7.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5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8" w:anchor="_Toc8" w:history="1">
            <w:r>
              <w:rPr>
                <w:rFonts w:eastAsia="Times New Roman" w:asciiTheme="minorHAnsi" w:hAnsiTheme="minorHAnsi" w:cstheme="minorHAnsi"/>
              </w:rPr>
              <w:t xml:space="preserve">8.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İlgili Dokümanlar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_Toc8 \h</w:instrText>
              <w:fldChar w:fldCharType="separate"/>
              <w:t xml:space="preserve">5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lang w:eastAsia="tr-TR"/>
            </w:rPr>
          </w:r>
          <w:r>
            <w:rPr>
              <w:rFonts w:cstheme="minorHAnsi"/>
              <w:b/>
              <w:bCs/>
              <w:sz w:val="24"/>
              <w:szCs w:val="24"/>
            </w:rPr>
            <w:fldChar w:fldCharType="end"/>
          </w:r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830"/>
        <w:numPr>
          <w:ilvl w:val="0"/>
          <w:numId w:val="7"/>
        </w:numPr>
        <w:ind w:left="284" w:hanging="284"/>
        <w:spacing w:before="0" w:line="240" w:lineRule="auto"/>
        <w:rPr>
          <w:rFonts w:asciiTheme="minorHAnsi" w:hAnsiTheme="minorHAnsi" w:cstheme="minorHAnsi"/>
          <w:color w:val="3b3838"/>
          <w:sz w:val="24"/>
          <w:lang w:eastAsia="tr-TR"/>
        </w:rPr>
      </w:pPr>
      <w:r/>
      <w:bookmarkStart w:id="9" w:name="_Toc1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Amaç</w:t>
      </w:r>
      <w:bookmarkEnd w:id="9"/>
      <w:r/>
      <w:r/>
    </w:p>
    <w:p>
      <w:pPr>
        <w:jc w:val="both"/>
        <w:spacing w:after="0" w:line="240" w:lineRule="auto"/>
        <w:rPr>
          <w:rFonts w:eastAsia="Calibri" w:cstheme="minorHAnsi"/>
        </w:rPr>
      </w:pPr>
      <w:r>
        <w:rPr>
          <w:rFonts w:cstheme="minorHAnsi"/>
          <w:color w:val="000000"/>
          <w:szCs w:val="20"/>
        </w:rPr>
        <w:t xml:space="preserve">Bu politikanın amacı, sistemlere </w:t>
      </w:r>
      <w:r>
        <w:rPr>
          <w:rFonts w:eastAsia="Calibri" w:cstheme="minorHAnsi"/>
        </w:rPr>
        <w:t xml:space="preserve">mantıksal erişim için dikkat edilmesi gereken hususları belirlemektir.</w:t>
      </w:r>
      <w:r/>
    </w:p>
    <w:p>
      <w:pPr>
        <w:pStyle w:val="830"/>
        <w:numPr>
          <w:ilvl w:val="0"/>
          <w:numId w:val="7"/>
        </w:numPr>
        <w:ind w:left="284" w:hanging="284"/>
        <w:spacing w:before="240" w:line="240" w:lineRule="auto"/>
        <w:rPr>
          <w:rFonts w:asciiTheme="minorHAnsi" w:hAnsiTheme="minorHAnsi" w:cstheme="minorHAnsi"/>
          <w:color w:val="3b3838"/>
          <w:sz w:val="24"/>
          <w:lang w:eastAsia="tr-TR"/>
        </w:rPr>
      </w:pPr>
      <w:r/>
      <w:bookmarkStart w:id="10" w:name="_Toc2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Kapsam</w:t>
      </w:r>
      <w:bookmarkEnd w:id="10"/>
      <w:r/>
      <w:r/>
    </w:p>
    <w:p>
      <w:pPr>
        <w:jc w:val="both"/>
        <w:spacing w:after="0" w:line="240" w:lineRule="auto"/>
        <w:rPr>
          <w:rFonts w:eastAsia="Calibri" w:cstheme="minorHAnsi"/>
        </w:rPr>
      </w:pPr>
      <w:r>
        <w:rPr>
          <w:rFonts w:cstheme="minorHAnsi"/>
        </w:rPr>
        <w:t xml:space="preserve">Bu politika, kurumdaki </w:t>
      </w:r>
      <w:r>
        <w:rPr>
          <w:rFonts w:eastAsia="Calibri" w:cstheme="minorHAnsi"/>
        </w:rPr>
        <w:t xml:space="preserve">tüm sistemleri kapsamaktadır.</w:t>
      </w:r>
      <w:r/>
    </w:p>
    <w:p>
      <w:pPr>
        <w:pStyle w:val="830"/>
        <w:numPr>
          <w:ilvl w:val="0"/>
          <w:numId w:val="7"/>
        </w:numPr>
        <w:ind w:left="284" w:hanging="284"/>
        <w:jc w:val="both"/>
        <w:spacing w:before="240" w:line="240" w:lineRule="auto"/>
        <w:rPr>
          <w:rFonts w:asciiTheme="minorHAnsi" w:hAnsiTheme="minorHAnsi" w:cstheme="minorHAnsi"/>
          <w:color w:val="3b3838"/>
          <w:sz w:val="24"/>
          <w:lang w:eastAsia="tr-TR"/>
        </w:rPr>
      </w:pPr>
      <w:r/>
      <w:bookmarkStart w:id="11" w:name="_Toc3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ISO Referansları</w:t>
      </w:r>
      <w:bookmarkEnd w:id="11"/>
      <w:r/>
      <w:r/>
    </w:p>
    <w:tbl>
      <w:tblPr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>
        <w:trPr>
          <w:jc w:val="center"/>
        </w:trPr>
        <w:tc>
          <w:tcPr>
            <w:tcW w:w="89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Batang" w:cstheme="minorHAnsi"/>
                <w:b/>
                <w:lang w:eastAsia="ko-KR"/>
              </w:rPr>
            </w:pPr>
            <w:r>
              <w:rPr>
                <w:rFonts w:eastAsia="Batang" w:cstheme="minorHAnsi"/>
                <w:b/>
                <w:lang w:eastAsia="ko-KR"/>
              </w:rPr>
              <w:t xml:space="preserve">ISO27001</w:t>
            </w:r>
            <w:r>
              <w:rPr>
                <w:rFonts w:eastAsia="Batang" w:cstheme="minorHAnsi"/>
                <w:b/>
                <w:lang w:eastAsia="ko-KR"/>
              </w:rPr>
              <w:t xml:space="preserve">-2022</w:t>
            </w:r>
            <w:r>
              <w:rPr>
                <w:rFonts w:eastAsia="Batang" w:cstheme="minorHAnsi"/>
                <w:b/>
                <w:lang w:eastAsia="ko-KR"/>
              </w:rPr>
              <w:t xml:space="preserve"> Referans Madde Numarası</w:t>
            </w:r>
            <w:r/>
          </w:p>
        </w:tc>
      </w:tr>
      <w:tr>
        <w:trPr>
          <w:jc w:val="center"/>
          <w:trHeight w:val="397"/>
        </w:trPr>
        <w:tc>
          <w:tcPr>
            <w:tcW w:w="89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Batang" w:cstheme="minorHAnsi"/>
                <w:lang w:eastAsia="ko-KR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5.15</w:t>
            </w:r>
            <w:r>
              <w:rPr>
                <w:rFonts w:cstheme="minorHAnsi"/>
              </w:rPr>
              <w:t xml:space="preserve"> - Erişim </w:t>
            </w:r>
            <w:r>
              <w:rPr>
                <w:rFonts w:cstheme="minorHAnsi"/>
              </w:rPr>
              <w:t xml:space="preserve">K</w:t>
            </w:r>
            <w:r>
              <w:rPr>
                <w:rFonts w:cstheme="minorHAnsi"/>
              </w:rPr>
              <w:t xml:space="preserve">ontrolü</w:t>
            </w:r>
            <w:r/>
          </w:p>
        </w:tc>
      </w:tr>
      <w:tr>
        <w:trPr>
          <w:jc w:val="center"/>
          <w:trHeight w:val="397"/>
        </w:trPr>
        <w:tc>
          <w:tcPr>
            <w:tcW w:w="89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5.16 </w:t>
            </w:r>
            <w:r>
              <w:rPr>
                <w:rFonts w:cstheme="minorHAnsi"/>
              </w:rPr>
              <w:t xml:space="preserve">-</w:t>
            </w:r>
            <w:r>
              <w:rPr>
                <w:rFonts w:cstheme="minorHAnsi"/>
              </w:rPr>
              <w:t xml:space="preserve"> Kimlik Yönetimi</w:t>
            </w:r>
            <w:r/>
          </w:p>
        </w:tc>
      </w:tr>
      <w:tr>
        <w:trPr>
          <w:jc w:val="center"/>
          <w:trHeight w:val="397"/>
        </w:trPr>
        <w:tc>
          <w:tcPr>
            <w:tcW w:w="89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5.17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 xml:space="preserve">K</w:t>
            </w:r>
            <w:r>
              <w:rPr>
                <w:rFonts w:cstheme="minorHAnsi"/>
              </w:rPr>
              <w:t xml:space="preserve">imlik Doğrulama Bilgileri</w:t>
            </w:r>
            <w:r/>
          </w:p>
        </w:tc>
      </w:tr>
      <w:tr>
        <w:trPr>
          <w:jc w:val="center"/>
          <w:trHeight w:val="397"/>
        </w:trPr>
        <w:tc>
          <w:tcPr>
            <w:tcW w:w="89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5.18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-</w:t>
            </w:r>
            <w:bookmarkStart w:id="8" w:name="_GoBack"/>
            <w:r/>
            <w:bookmarkEnd w:id="8"/>
            <w:r>
              <w:rPr>
                <w:rFonts w:cstheme="minorHAnsi"/>
              </w:rPr>
              <w:t xml:space="preserve"> Erişim Hakları</w:t>
            </w:r>
            <w:r/>
          </w:p>
        </w:tc>
      </w:tr>
    </w:tbl>
    <w:p>
      <w:pPr>
        <w:pStyle w:val="830"/>
        <w:numPr>
          <w:ilvl w:val="0"/>
          <w:numId w:val="7"/>
        </w:numPr>
        <w:ind w:left="284" w:hanging="284"/>
        <w:jc w:val="both"/>
        <w:spacing w:before="240" w:line="240" w:lineRule="auto"/>
        <w:rPr>
          <w:rFonts w:asciiTheme="minorHAnsi" w:hAnsiTheme="minorHAnsi" w:cstheme="minorHAnsi"/>
        </w:rPr>
      </w:pPr>
      <w:r/>
      <w:bookmarkStart w:id="12" w:name="_Toc4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Kısaltmalar ve Tanımlar</w:t>
      </w:r>
      <w:bookmarkEnd w:id="12"/>
      <w:r/>
      <w:r/>
    </w:p>
    <w:p>
      <w:r>
        <w:rPr>
          <w:b/>
          <w:bCs/>
        </w:rPr>
        <w:t xml:space="preserve">BGYS:</w:t>
      </w:r>
      <w:r>
        <w:t xml:space="preserve">Bilgi Güvenliği Yönetim Sistemi</w:t>
      </w:r>
      <w:r/>
    </w:p>
    <w:p>
      <w:pPr>
        <w:pStyle w:val="830"/>
        <w:numPr>
          <w:ilvl w:val="0"/>
          <w:numId w:val="7"/>
        </w:numPr>
        <w:ind w:left="284" w:hanging="284"/>
        <w:jc w:val="both"/>
        <w:spacing w:before="240" w:line="240" w:lineRule="auto"/>
        <w:rPr>
          <w:rFonts w:asciiTheme="minorHAnsi" w:hAnsiTheme="minorHAnsi" w:cstheme="minorHAnsi"/>
          <w:color w:val="3b3838"/>
          <w:sz w:val="24"/>
          <w:szCs w:val="24"/>
          <w:lang w:eastAsia="tr-TR"/>
        </w:rPr>
      </w:pPr>
      <w:r/>
      <w:bookmarkStart w:id="13" w:name="_Toc5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Sorumluluk ve Yetki</w:t>
      </w:r>
      <w:bookmarkEnd w:id="13"/>
      <w:r/>
      <w:r/>
    </w:p>
    <w:tbl>
      <w:tblPr>
        <w:tblStyle w:val="1009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830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/>
          <w:sz w:val="22"/>
          <w:lang w:eastAsia="tr-TR"/>
        </w:rPr>
      </w:pPr>
      <w:r/>
      <w:bookmarkStart w:id="14" w:name="_Toc6"/>
      <w:r>
        <w:rPr>
          <w:rFonts w:asciiTheme="minorHAnsi" w:hAnsiTheme="minorHAnsi" w:cstheme="minorHAnsi"/>
          <w:color w:val="3b3838" w:themeColor="background2" w:themeShade="40"/>
          <w:sz w:val="22"/>
          <w:lang w:eastAsia="tr-TR"/>
        </w:rPr>
        <w:t xml:space="preserve">Uygulama</w:t>
      </w:r>
      <w:r>
        <w:rPr>
          <w:rFonts w:asciiTheme="minorHAnsi" w:hAnsiTheme="minorHAnsi" w:cstheme="minorHAnsi"/>
          <w:color w:val="3b3838"/>
          <w:sz w:val="22"/>
          <w:lang w:eastAsia="tr-TR"/>
        </w:rPr>
      </w:r>
      <w:bookmarkEnd w:id="14"/>
      <w:r/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Uygulamalara / Sistemlere kullanıcı tanımlamaları gerekli onayların alınmasının ardından (İlgili başkanlığın yazısı veya bir üst amirin e-postasına istinaden) gerçekleştirilmelidir. </w:t>
      </w:r>
      <w:r/>
    </w:p>
    <w:p>
      <w:pPr>
        <w:pStyle w:val="1017"/>
        <w:ind w:left="72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Onaysız v</w:t>
      </w:r>
      <w:r>
        <w:rPr>
          <w:rFonts w:asciiTheme="minorHAnsi" w:hAnsiTheme="minorHAnsi" w:cstheme="minorHAnsi"/>
          <w:sz w:val="22"/>
          <w:szCs w:val="22"/>
        </w:rPr>
        <w:t xml:space="preserve">eya sözlü olarak yapılan talepler karşılanmaz. Aktif dizin ve e-posta hesabı Personel Daire Başkanlığının gönderdiği işe başlama ve atama yazısıyla birlikte personelin ıslak imzalı olarak doldurduğu bireysel kullanıcı hesap açma formuna istinaden açılır.  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Tüm sistemlere / uygulamalara tanımlamalar kişinin iş ihtiyacı doğrultusunda “en az yetki” prensibine göre tanımlanmalıdır. Her yönetici, kendisine bağlı personelin iş ihtiyacı doğrultusunda minimum yetki verilmesinden sorumludur.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lang w:eastAsia="tr-TR"/>
        </w:rPr>
      </w:pPr>
      <w:r>
        <w:rPr>
          <w:rFonts w:asciiTheme="minorHAnsi" w:hAnsiTheme="minorHAnsi" w:cstheme="minorHAnsi"/>
          <w:sz w:val="22"/>
          <w:szCs w:val="22"/>
        </w:rPr>
        <w:t xml:space="preserve">Test ve yazılım geliştirme kullanıcılarının canlı ortamda yetkileri bulunmamalıdır. 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Kullanıcı hesapları kişiye özel olur, ortak kullanıcı hesapları kullanılmamalıdır.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Erişim bilgileri (Kullanıcı adı / Şifre) hiç kimse ile paylaşılmamalı, okunabilir bir formatta bir ortama kaydedilmemelidir.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Kullanıcıların işten ayrılması / iş tanımının değişmesi durumunda Personel Daire Başkanlığı tar</w:t>
      </w:r>
      <w:r>
        <w:rPr>
          <w:rFonts w:asciiTheme="minorHAnsi" w:hAnsiTheme="minorHAnsi" w:cstheme="minorHAnsi"/>
          <w:sz w:val="22"/>
          <w:lang w:eastAsia="tr-TR"/>
        </w:rPr>
        <w:t xml:space="preserve">afından en kısa sürede Bilgi İşlem Daire Başkanlığına yazı ile bilgi verilir. Bu yazıya istinaden mevcut yetkiler kaldırılır/düzenlenir. Her yönetici bölüm değiştiren / iş tanımı değişen personelinin mevcut yetkilerinin yeniden düzenlenmesinden sorumludur.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Tüm sistem ve cihazlara erişimlerde parolasız kullanıcı olmamalı ve parolalar Parola politikasına uygun olarak belirlenmelidir.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Ağ cihazlarına ve sistemlere yapılan tüm erişimlerin kayıtları (log) tutulmalı ve farklı bir ortama aktarılmalıdır.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Oturum açma işlemleri sırasında yetkisiz kullanıcılara yol göstermemesi amacıyla yardım mesajları yayınlanmamalıdır.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Oturum açma bilgileri ancak tüm veri girişi yapıldıktan sonra doğrulanmalı ve hatalı bir giriş yapıldıysa hangi verinin hatalı olduğu belirtilmemelidir.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İşletim sistemlerinde başarısız oturum açma girişimi sayısının sınırlanması ve başarısız denemelerin kaydedilmesi, özel bir yetkilendirme yapılmadıkça daha sonraki oturum açma girişimlerinin engellenmesi veya belli bir süre bloke edilmesi sağlanmalıdır.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Oturum açma esnasında “parolamı hatırla, beni hatırla vb.” seçenekler olmamalıdır.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Ayrıcalıklı erişim hakları bireylere tahsis edilmelidir, gruplara ya da bir birimin tamamına tahsis edilmez.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szCs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Kurulum sırasında oluşan varsayılan (</w:t>
      </w:r>
      <w:r>
        <w:rPr>
          <w:rFonts w:asciiTheme="minorHAnsi" w:hAnsiTheme="minorHAnsi" w:cstheme="minorHAnsi"/>
          <w:sz w:val="22"/>
          <w:lang w:val="en-US" w:eastAsia="tr-TR"/>
        </w:rPr>
        <w:t xml:space="preserve">Default</w:t>
      </w:r>
      <w:r>
        <w:rPr>
          <w:rFonts w:asciiTheme="minorHAnsi" w:hAnsiTheme="minorHAnsi" w:cstheme="minorHAnsi"/>
          <w:sz w:val="22"/>
          <w:lang w:eastAsia="tr-TR"/>
        </w:rPr>
        <w:t xml:space="preserve">) kimlik bilgileri değiştirilerek </w:t>
      </w:r>
      <w:r>
        <w:rPr>
          <w:rFonts w:asciiTheme="minorHAnsi" w:hAnsiTheme="minorHAnsi" w:cstheme="minorHAnsi"/>
          <w:sz w:val="22"/>
          <w:szCs w:val="22"/>
          <w:lang w:eastAsia="tr-TR"/>
        </w:rPr>
        <w:t xml:space="preserve">kullanılmalıdır.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Kullanıcı yetkileri en az 6 ayda bir olmak üzere periyodik olarak gözden geçirilmelidir. Ayrıcalıklı kullanıcı yetkileri en az 6 ayda bir gözden geçirilir ve kullanılmayan hesapların veya ayrıcalık süresi dolmuş hesapların yetkileri düşürülür.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Sistem ve uygulama kontrollerini geçersiz kılma yeteneğine sahip olabilecek yardımcı programların kullanımı için aşağıdaki kurallar dikkate alınır;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Ayrıcalıklı destek programları erişimi için kimlik doğrulama ve yetkilendirme zorunlu tutulmalıdır.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Erişim yetkileri kayıt altına alınmalıdır.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Ayrıcalıklı destek programlar ile uygulama programları ayrılmalıdır.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Ayrıcalıklı destek programlarının sayısı güvenlik için sınırlandırılmalıdır.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Ayrıcalıklı destek programların işlem kayıtları tutulmalıdır.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Ayrıcalıklı destek programlarının sistemde kalma süreleri sınırlandırılmalıdır.</w:t>
      </w:r>
      <w:r/>
    </w:p>
    <w:p>
      <w:pPr>
        <w:pStyle w:val="1017"/>
        <w:numPr>
          <w:ilvl w:val="0"/>
          <w:numId w:val="37"/>
        </w:numPr>
        <w:ind w:left="567" w:hanging="11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Kullanılmayan ayrıcalıklı destek programları sistemlerden kaldırılmalıdır.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Program kaynak koduna erişimde aşağıdaki hususlara dikkat edilmelidir. 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Kaynak kodlar işletim sistemi üzerinde tutulmamalıdır.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Yazılım geliştirme faaliyetlerini gerçekleştiren personel haricindeki personelin kaynak kodlarına erişimi sınırlandırılmalıdır.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Kaynak kod değişim kayıtları, kaynak kodlar kullanıldığı sürece saklanmalıdır.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sz w:val="22"/>
          <w:lang w:eastAsia="tr-TR"/>
        </w:rPr>
      </w:pPr>
      <w:r>
        <w:rPr>
          <w:rFonts w:asciiTheme="minorHAnsi" w:hAnsiTheme="minorHAnsi" w:cstheme="minorHAnsi"/>
          <w:sz w:val="22"/>
          <w:lang w:eastAsia="tr-TR"/>
        </w:rPr>
        <w:t xml:space="preserve">Değişiklikler öncesi kaynak kodların tüm sürümleri saklanmalıdır.</w:t>
      </w:r>
      <w:r/>
    </w:p>
    <w:p>
      <w:pPr>
        <w:pStyle w:val="1017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color w:val="auto"/>
          <w:sz w:val="22"/>
          <w:lang w:eastAsia="tr-TR"/>
        </w:rPr>
      </w:pPr>
      <w:r>
        <w:rPr>
          <w:rFonts w:asciiTheme="minorHAnsi" w:hAnsiTheme="minorHAnsi" w:cstheme="minorHAnsi"/>
          <w:color w:val="auto"/>
          <w:sz w:val="22"/>
          <w:lang w:eastAsia="tr-TR"/>
        </w:rPr>
        <w:t xml:space="preserve">Erişim kısıtlamaları bireysel iş uygulama gereksinimlerini temel alır. Kullanıcı erişim kısıtlamaları Erişim Kontrol Listesi dokümanında üç farklı yetkilendirme ile takip edilir. Bu yetkilendirmeler: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color w:val="auto"/>
          <w:sz w:val="22"/>
          <w:lang w:eastAsia="tr-TR"/>
        </w:rPr>
      </w:pPr>
      <w:r>
        <w:rPr>
          <w:rFonts w:asciiTheme="minorHAnsi" w:hAnsiTheme="minorHAnsi" w:cstheme="minorHAnsi"/>
          <w:b/>
          <w:color w:val="auto"/>
          <w:sz w:val="22"/>
          <w:lang w:eastAsia="tr-TR"/>
        </w:rPr>
        <w:t xml:space="preserve">A-Admin Yetkisi (Admin):</w:t>
      </w:r>
      <w:r>
        <w:rPr>
          <w:rFonts w:asciiTheme="minorHAnsi" w:hAnsiTheme="minorHAnsi" w:cstheme="minorHAnsi"/>
          <w:color w:val="auto"/>
          <w:sz w:val="22"/>
          <w:lang w:eastAsia="tr-TR"/>
        </w:rPr>
        <w:t xml:space="preserve"> Erişim Yetki Tablosuna eklenen yazılım, donanım, lokasyonun, veritabanı vb. erişim yetkilerinin kaldırılması, oluşturulması, değişikliği gibi aksiyonları düzenleyen kişi veya birimlerdir.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color w:val="auto"/>
          <w:sz w:val="22"/>
          <w:lang w:eastAsia="tr-TR"/>
        </w:rPr>
      </w:pPr>
      <w:r>
        <w:rPr>
          <w:rFonts w:asciiTheme="minorHAnsi" w:hAnsiTheme="minorHAnsi" w:cstheme="minorHAnsi"/>
          <w:b/>
          <w:color w:val="auto"/>
          <w:sz w:val="22"/>
          <w:lang w:eastAsia="tr-TR"/>
        </w:rPr>
        <w:t xml:space="preserve">W-Değiştirme Yetkisi (Write</w:t>
      </w:r>
      <w:r>
        <w:rPr>
          <w:rFonts w:asciiTheme="minorHAnsi" w:hAnsiTheme="minorHAnsi" w:cstheme="minorHAnsi"/>
          <w:color w:val="auto"/>
          <w:sz w:val="22"/>
          <w:lang w:eastAsia="tr-TR"/>
        </w:rPr>
        <w:t xml:space="preserve">): Erişim Yetki Tablosuna eklenen yazılım, donanım, lokasyonun, veritabanı vb. durumlarda erişim yetkisi verilen bilgide değişiklik yapma yetkisi olan kişi veya birimlerdir.</w:t>
      </w:r>
      <w:r/>
    </w:p>
    <w:p>
      <w:pPr>
        <w:pStyle w:val="1017"/>
        <w:numPr>
          <w:ilvl w:val="3"/>
          <w:numId w:val="38"/>
        </w:numPr>
        <w:ind w:left="896" w:hanging="329"/>
        <w:spacing w:line="360" w:lineRule="auto"/>
        <w:rPr>
          <w:rFonts w:asciiTheme="minorHAnsi" w:hAnsiTheme="minorHAnsi" w:cstheme="minorHAnsi"/>
          <w:color w:val="auto"/>
          <w:sz w:val="22"/>
          <w:lang w:eastAsia="tr-TR"/>
        </w:rPr>
      </w:pPr>
      <w:r>
        <w:rPr>
          <w:rFonts w:asciiTheme="minorHAnsi" w:hAnsiTheme="minorHAnsi" w:cstheme="minorHAnsi"/>
          <w:b/>
          <w:color w:val="auto"/>
          <w:sz w:val="22"/>
          <w:lang w:eastAsia="tr-TR"/>
        </w:rPr>
        <w:t xml:space="preserve">R-Görme Yetkisi (Read):</w:t>
      </w:r>
      <w:r>
        <w:rPr>
          <w:rFonts w:asciiTheme="minorHAnsi" w:hAnsiTheme="minorHAnsi" w:cstheme="minorHAnsi"/>
          <w:color w:val="auto"/>
          <w:sz w:val="22"/>
          <w:lang w:eastAsia="tr-TR"/>
        </w:rPr>
        <w:t xml:space="preserve"> Erişim Yetki Tablosuna eklenen yazılım, donanım, lokasyonun, veritabanı vb. durumlarda erişim yetkisi verilen bilgiyi sadece görebilen kişi veya birimlerdir. Yetki verilen bilgi üzerinde hiçbir değişiklik yapamaz.</w:t>
      </w:r>
      <w:r/>
    </w:p>
    <w:p>
      <w:pPr>
        <w:pStyle w:val="1017"/>
        <w:spacing w:line="240" w:lineRule="auto"/>
        <w:rPr>
          <w:rFonts w:ascii="undefined" w:hAnsiTheme="minorHAnsi" w:cstheme="minorHAnsi"/>
          <w:color w:val="auto"/>
          <w:sz w:val="22"/>
          <w:lang w:eastAsia="tr-TR"/>
        </w:rPr>
      </w:pPr>
      <w:r>
        <w:rPr>
          <w:rFonts w:asciiTheme="minorHAnsi" w:hAnsiTheme="minorHAnsi" w:cstheme="minorHAnsi"/>
          <w:color w:val="auto"/>
          <w:sz w:val="22"/>
          <w:lang w:eastAsia="tr-TR"/>
        </w:rPr>
        <w:t xml:space="preserve">        20.  </w:t>
      </w:r>
      <w:r>
        <w:rPr>
          <w:rFonts w:ascii="Calibri" w:hAnsi="Calibri" w:eastAsia="Calibri" w:cs="Calibri"/>
        </w:rPr>
        <w:t xml:space="preserve">Sistem odası/veri merkezinde bulunan varlıkların sistem odası/veri merkezi dışına transferi durumunda, bilgi güvenliği gereksinimleri çerçevesinde gerekli onay ve yetkilendirme işlemleri tamamlanmalıdır.</w:t>
      </w:r>
      <w:r/>
    </w:p>
    <w:p>
      <w:pPr>
        <w:pStyle w:val="830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/>
          <w:sz w:val="24"/>
          <w:lang w:eastAsia="tr-TR"/>
        </w:rPr>
      </w:pPr>
      <w:r/>
      <w:bookmarkStart w:id="15" w:name="_Toc7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Yaptırım</w:t>
      </w:r>
      <w:bookmarkEnd w:id="15"/>
      <w:r/>
      <w:r/>
    </w:p>
    <w:p>
      <w:pPr>
        <w:jc w:val="both"/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</w:p>
    <w:p>
      <w:pPr>
        <w:pStyle w:val="830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/>
          <w:sz w:val="24"/>
          <w:lang w:eastAsia="tr-TR"/>
        </w:rPr>
      </w:pPr>
      <w:r/>
      <w:bookmarkStart w:id="16" w:name="_Toc8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İlgili Dokümanlar</w:t>
      </w:r>
      <w:bookmarkEnd w:id="16"/>
      <w:r/>
      <w:r/>
    </w:p>
    <w:p>
      <w:pPr>
        <w:pStyle w:val="1007"/>
        <w:numPr>
          <w:ilvl w:val="0"/>
          <w:numId w:val="34"/>
        </w:numPr>
        <w:ind w:left="851" w:hanging="284"/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BGYS.FR.02 Kullanıcı Gözden Geçirme Formu</w:t>
      </w:r>
      <w:r/>
    </w:p>
    <w:p>
      <w:pPr>
        <w:pStyle w:val="1007"/>
        <w:numPr>
          <w:ilvl w:val="0"/>
          <w:numId w:val="34"/>
        </w:numPr>
        <w:ind w:left="851" w:hanging="284"/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BGYS.LS.12 Erişim Kontrol Listesi</w:t>
      </w:r>
      <w:r>
        <w:rPr>
          <w:rFonts w:cstheme="minorHAnsi"/>
        </w:rPr>
      </w:r>
      <w:r/>
    </w:p>
    <w:p>
      <w:pPr>
        <w:ind w:left="851" w:firstLine="0"/>
        <w:jc w:val="both"/>
        <w:spacing w:after="0" w:line="360" w:lineRule="auto"/>
        <w:rPr>
          <w:rFonts w:cstheme="minorHAnsi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theme="minorHAnsi"/>
              <w:color w:val="00b050"/>
              <w:sz w:val="40"/>
              <w:szCs w:val="40"/>
            </w:rPr>
          </w:pPr>
          <w:r>
            <w:rPr>
              <w:rFonts w:cstheme="minorHAnsi"/>
              <w:sz w:val="32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Calibri" w:hAnsi="Calibri" w:cs="Arial"/>
              <w:i/>
              <w:sz w:val="16"/>
              <w:szCs w:val="16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</w:t>
          </w:r>
          <w:r>
            <w:t xml:space="preserve"> 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Sadece kurum çalışanlarının görebileceği, kurum dışı kişilerin görmemesi gereken dokümanlar bu sınıfta yer alır.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**</w:t>
          </w:r>
          <w:r>
            <w:rPr>
              <w:rFonts w:ascii="Calibri" w:hAnsi="Calibri" w:eastAsia="Calibri"/>
              <w:i/>
              <w:sz w:val="16"/>
            </w:rPr>
            <w:t xml:space="preserve"> Elektronik nüsha çıktısı kontrolsüz dokümandır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ERİŞİM KONTROL POLİTİKASI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BGYS.PL.06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15.08.2018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 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3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Tarihi: 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05.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12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.2024</w:t>
          </w:r>
          <w:r/>
        </w:p>
      </w:tc>
    </w:tr>
  </w:tbl>
  <w:p>
    <w:pPr>
      <w:pStyle w:val="10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6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styleLink w:val="1015"/>
    <w:lvl w:ilvl="0">
      <w:start w:val="6"/>
      <w:numFmt w:val="decimal"/>
      <w:pStyle w:val="1015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0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4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6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0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2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61" w:hanging="360"/>
      </w:pPr>
      <w:rPr>
        <w:rFonts w:hint="default" w:ascii="Wingdings" w:hAnsi="Wingdings"/>
      </w:rPr>
    </w:lvl>
  </w:abstractNum>
  <w:abstractNum w:abstractNumId="12">
    <w:multiLevelType w:val="hybridMultilevel"/>
    <w:numStyleLink w:val="1015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586" w:hanging="360"/>
      </w:pPr>
      <w:rPr>
        <w:rFonts w:ascii="Arial" w:hAnsi="Arial" w:cs="Arial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5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0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47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54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62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9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6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83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90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806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32"/>
  </w:num>
  <w:num w:numId="9">
    <w:abstractNumId w:val="12"/>
  </w:num>
  <w:num w:numId="10">
    <w:abstractNumId w:val="27"/>
  </w:num>
  <w:num w:numId="11">
    <w:abstractNumId w:val="23"/>
  </w:num>
  <w:num w:numId="12">
    <w:abstractNumId w:val="24"/>
  </w:num>
  <w:num w:numId="13">
    <w:abstractNumId w:val="17"/>
  </w:num>
  <w:num w:numId="14">
    <w:abstractNumId w:val="25"/>
  </w:num>
  <w:num w:numId="15">
    <w:abstractNumId w:val="26"/>
  </w:num>
  <w:num w:numId="16">
    <w:abstractNumId w:val="9"/>
  </w:num>
  <w:num w:numId="17">
    <w:abstractNumId w:val="16"/>
  </w:num>
  <w:num w:numId="18">
    <w:abstractNumId w:val="1"/>
  </w:num>
  <w:num w:numId="19">
    <w:abstractNumId w:val="21"/>
  </w:num>
  <w:num w:numId="20">
    <w:abstractNumId w:val="22"/>
  </w:num>
  <w:num w:numId="21">
    <w:abstractNumId w:val="8"/>
  </w:num>
  <w:num w:numId="22">
    <w:abstractNumId w:val="3"/>
  </w:num>
  <w:num w:numId="23">
    <w:abstractNumId w:val="14"/>
  </w:num>
  <w:num w:numId="24">
    <w:abstractNumId w:val="7"/>
  </w:num>
  <w:num w:numId="25">
    <w:abstractNumId w:val="28"/>
  </w:num>
  <w:num w:numId="26">
    <w:abstractNumId w:val="5"/>
  </w:num>
  <w:num w:numId="27">
    <w:abstractNumId w:val="15"/>
  </w:num>
  <w:num w:numId="28">
    <w:abstractNumId w:val="19"/>
  </w:num>
  <w:num w:numId="29">
    <w:abstractNumId w:val="0"/>
  </w:num>
  <w:num w:numId="30">
    <w:abstractNumId w:val="10"/>
  </w:num>
  <w:num w:numId="31">
    <w:abstractNumId w:val="30"/>
  </w:num>
  <w:num w:numId="32">
    <w:abstractNumId w:val="18"/>
  </w:num>
  <w:num w:numId="33">
    <w:abstractNumId w:val="6"/>
  </w:num>
  <w:num w:numId="34">
    <w:abstractNumId w:val="11"/>
  </w:num>
  <w:num w:numId="35">
    <w:abstractNumId w:val="4"/>
  </w:num>
  <w:num w:numId="36">
    <w:abstractNumId w:val="2"/>
  </w:num>
  <w:num w:numId="37">
    <w:abstractNumId w:val="13"/>
  </w:num>
  <w:num w:numId="38">
    <w:abstractNumId w:val="31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7">
    <w:name w:val="Heading 4 Char"/>
    <w:basedOn w:val="839"/>
    <w:link w:val="833"/>
    <w:uiPriority w:val="9"/>
    <w:rPr>
      <w:rFonts w:ascii="Arial" w:hAnsi="Arial" w:eastAsia="Arial" w:cs="Arial"/>
      <w:b/>
      <w:bCs/>
      <w:sz w:val="26"/>
      <w:szCs w:val="26"/>
    </w:rPr>
  </w:style>
  <w:style w:type="character" w:styleId="818">
    <w:name w:val="Heading 5 Char"/>
    <w:basedOn w:val="839"/>
    <w:link w:val="834"/>
    <w:uiPriority w:val="9"/>
    <w:rPr>
      <w:rFonts w:ascii="Arial" w:hAnsi="Arial" w:eastAsia="Arial" w:cs="Arial"/>
      <w:b/>
      <w:bCs/>
      <w:sz w:val="24"/>
      <w:szCs w:val="24"/>
    </w:rPr>
  </w:style>
  <w:style w:type="character" w:styleId="819">
    <w:name w:val="Heading 6 Char"/>
    <w:basedOn w:val="839"/>
    <w:link w:val="835"/>
    <w:uiPriority w:val="9"/>
    <w:rPr>
      <w:rFonts w:ascii="Arial" w:hAnsi="Arial" w:eastAsia="Arial" w:cs="Arial"/>
      <w:b/>
      <w:bCs/>
      <w:sz w:val="22"/>
      <w:szCs w:val="22"/>
    </w:rPr>
  </w:style>
  <w:style w:type="character" w:styleId="820">
    <w:name w:val="Heading 7 Char"/>
    <w:basedOn w:val="839"/>
    <w:link w:val="8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1">
    <w:name w:val="Heading 8 Char"/>
    <w:basedOn w:val="839"/>
    <w:link w:val="837"/>
    <w:uiPriority w:val="9"/>
    <w:rPr>
      <w:rFonts w:ascii="Arial" w:hAnsi="Arial" w:eastAsia="Arial" w:cs="Arial"/>
      <w:i/>
      <w:iCs/>
      <w:sz w:val="22"/>
      <w:szCs w:val="22"/>
    </w:rPr>
  </w:style>
  <w:style w:type="character" w:styleId="822">
    <w:name w:val="Heading 9 Char"/>
    <w:basedOn w:val="839"/>
    <w:link w:val="838"/>
    <w:uiPriority w:val="9"/>
    <w:rPr>
      <w:rFonts w:ascii="Arial" w:hAnsi="Arial" w:eastAsia="Arial" w:cs="Arial"/>
      <w:i/>
      <w:iCs/>
      <w:sz w:val="21"/>
      <w:szCs w:val="21"/>
    </w:rPr>
  </w:style>
  <w:style w:type="character" w:styleId="823">
    <w:name w:val="Title Char"/>
    <w:basedOn w:val="839"/>
    <w:link w:val="852"/>
    <w:uiPriority w:val="10"/>
    <w:rPr>
      <w:sz w:val="48"/>
      <w:szCs w:val="48"/>
    </w:rPr>
  </w:style>
  <w:style w:type="character" w:styleId="824">
    <w:name w:val="Subtitle Char"/>
    <w:basedOn w:val="839"/>
    <w:link w:val="854"/>
    <w:uiPriority w:val="11"/>
    <w:rPr>
      <w:sz w:val="24"/>
      <w:szCs w:val="24"/>
    </w:rPr>
  </w:style>
  <w:style w:type="character" w:styleId="825">
    <w:name w:val="Quote Char"/>
    <w:link w:val="856"/>
    <w:uiPriority w:val="29"/>
    <w:rPr>
      <w:i/>
    </w:rPr>
  </w:style>
  <w:style w:type="character" w:styleId="826">
    <w:name w:val="Intense Quote Char"/>
    <w:link w:val="858"/>
    <w:uiPriority w:val="30"/>
    <w:rPr>
      <w:i/>
    </w:rPr>
  </w:style>
  <w:style w:type="character" w:styleId="827">
    <w:name w:val="Footnote Text Char"/>
    <w:link w:val="989"/>
    <w:uiPriority w:val="99"/>
    <w:rPr>
      <w:sz w:val="18"/>
    </w:rPr>
  </w:style>
  <w:style w:type="character" w:styleId="828">
    <w:name w:val="Endnote Text Char"/>
    <w:link w:val="992"/>
    <w:uiPriority w:val="99"/>
    <w:rPr>
      <w:sz w:val="20"/>
    </w:rPr>
  </w:style>
  <w:style w:type="paragraph" w:styleId="829" w:default="1">
    <w:name w:val="Normal"/>
    <w:qFormat/>
    <w:pPr>
      <w:spacing w:line="256" w:lineRule="auto"/>
    </w:pPr>
  </w:style>
  <w:style w:type="paragraph" w:styleId="830">
    <w:name w:val="Heading 1"/>
    <w:basedOn w:val="829"/>
    <w:next w:val="829"/>
    <w:link w:val="1002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831">
    <w:name w:val="Heading 2"/>
    <w:basedOn w:val="829"/>
    <w:next w:val="829"/>
    <w:link w:val="1003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832">
    <w:name w:val="Heading 3"/>
    <w:basedOn w:val="829"/>
    <w:next w:val="829"/>
    <w:link w:val="1014"/>
    <w:uiPriority w:val="9"/>
    <w:unhideWhenUsed/>
    <w:qFormat/>
    <w:pPr>
      <w:keepLines/>
      <w:keepNext/>
      <w:spacing w:before="40" w:after="0" w:line="259" w:lineRule="auto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833">
    <w:name w:val="Heading 4"/>
    <w:basedOn w:val="829"/>
    <w:next w:val="829"/>
    <w:link w:val="8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34">
    <w:name w:val="Heading 5"/>
    <w:basedOn w:val="829"/>
    <w:next w:val="829"/>
    <w:link w:val="84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35">
    <w:name w:val="Heading 6"/>
    <w:basedOn w:val="829"/>
    <w:next w:val="829"/>
    <w:link w:val="8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36">
    <w:name w:val="Heading 7"/>
    <w:basedOn w:val="829"/>
    <w:next w:val="829"/>
    <w:link w:val="8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37">
    <w:name w:val="Heading 8"/>
    <w:basedOn w:val="829"/>
    <w:next w:val="829"/>
    <w:link w:val="8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38">
    <w:name w:val="Heading 9"/>
    <w:basedOn w:val="829"/>
    <w:next w:val="829"/>
    <w:link w:val="8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character" w:styleId="842" w:customStyle="1">
    <w:name w:val="Heading 1 Char"/>
    <w:basedOn w:val="839"/>
    <w:uiPriority w:val="9"/>
    <w:rPr>
      <w:rFonts w:ascii="Arial" w:hAnsi="Arial" w:eastAsia="Arial" w:cs="Arial"/>
      <w:sz w:val="40"/>
      <w:szCs w:val="40"/>
    </w:rPr>
  </w:style>
  <w:style w:type="character" w:styleId="843" w:customStyle="1">
    <w:name w:val="Heading 2 Char"/>
    <w:basedOn w:val="839"/>
    <w:uiPriority w:val="9"/>
    <w:rPr>
      <w:rFonts w:ascii="Arial" w:hAnsi="Arial" w:eastAsia="Arial" w:cs="Arial"/>
      <w:sz w:val="34"/>
    </w:rPr>
  </w:style>
  <w:style w:type="character" w:styleId="844" w:customStyle="1">
    <w:name w:val="Heading 3 Char"/>
    <w:basedOn w:val="839"/>
    <w:uiPriority w:val="9"/>
    <w:rPr>
      <w:rFonts w:ascii="Arial" w:hAnsi="Arial" w:eastAsia="Arial" w:cs="Arial"/>
      <w:sz w:val="30"/>
      <w:szCs w:val="30"/>
    </w:rPr>
  </w:style>
  <w:style w:type="character" w:styleId="845" w:customStyle="1">
    <w:name w:val="Başlık 4 Char"/>
    <w:basedOn w:val="839"/>
    <w:link w:val="833"/>
    <w:uiPriority w:val="9"/>
    <w:rPr>
      <w:rFonts w:ascii="Arial" w:hAnsi="Arial" w:eastAsia="Arial" w:cs="Arial"/>
      <w:b/>
      <w:bCs/>
      <w:sz w:val="26"/>
      <w:szCs w:val="26"/>
    </w:rPr>
  </w:style>
  <w:style w:type="character" w:styleId="846" w:customStyle="1">
    <w:name w:val="Başlık 5 Char"/>
    <w:basedOn w:val="839"/>
    <w:link w:val="834"/>
    <w:uiPriority w:val="9"/>
    <w:rPr>
      <w:rFonts w:ascii="Arial" w:hAnsi="Arial" w:eastAsia="Arial" w:cs="Arial"/>
      <w:b/>
      <w:bCs/>
      <w:sz w:val="24"/>
      <w:szCs w:val="24"/>
    </w:rPr>
  </w:style>
  <w:style w:type="character" w:styleId="847" w:customStyle="1">
    <w:name w:val="Başlık 6 Char"/>
    <w:basedOn w:val="839"/>
    <w:link w:val="835"/>
    <w:uiPriority w:val="9"/>
    <w:rPr>
      <w:rFonts w:ascii="Arial" w:hAnsi="Arial" w:eastAsia="Arial" w:cs="Arial"/>
      <w:b/>
      <w:bCs/>
      <w:sz w:val="22"/>
      <w:szCs w:val="22"/>
    </w:rPr>
  </w:style>
  <w:style w:type="character" w:styleId="848" w:customStyle="1">
    <w:name w:val="Başlık 7 Char"/>
    <w:basedOn w:val="839"/>
    <w:link w:val="8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9" w:customStyle="1">
    <w:name w:val="Başlık 8 Char"/>
    <w:basedOn w:val="839"/>
    <w:link w:val="837"/>
    <w:uiPriority w:val="9"/>
    <w:rPr>
      <w:rFonts w:ascii="Arial" w:hAnsi="Arial" w:eastAsia="Arial" w:cs="Arial"/>
      <w:i/>
      <w:iCs/>
      <w:sz w:val="22"/>
      <w:szCs w:val="22"/>
    </w:rPr>
  </w:style>
  <w:style w:type="character" w:styleId="850" w:customStyle="1">
    <w:name w:val="Başlık 9 Char"/>
    <w:basedOn w:val="839"/>
    <w:link w:val="838"/>
    <w:uiPriority w:val="9"/>
    <w:rPr>
      <w:rFonts w:ascii="Arial" w:hAnsi="Arial" w:eastAsia="Arial" w:cs="Arial"/>
      <w:i/>
      <w:iCs/>
      <w:sz w:val="21"/>
      <w:szCs w:val="21"/>
    </w:rPr>
  </w:style>
  <w:style w:type="paragraph" w:styleId="851">
    <w:name w:val="No Spacing"/>
    <w:uiPriority w:val="1"/>
    <w:qFormat/>
    <w:pPr>
      <w:spacing w:after="0" w:line="240" w:lineRule="auto"/>
    </w:pPr>
  </w:style>
  <w:style w:type="paragraph" w:styleId="852">
    <w:name w:val="Title"/>
    <w:basedOn w:val="829"/>
    <w:next w:val="829"/>
    <w:link w:val="8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3" w:customStyle="1">
    <w:name w:val="Konu Başlığı Char"/>
    <w:basedOn w:val="839"/>
    <w:link w:val="852"/>
    <w:uiPriority w:val="10"/>
    <w:rPr>
      <w:sz w:val="48"/>
      <w:szCs w:val="48"/>
    </w:rPr>
  </w:style>
  <w:style w:type="paragraph" w:styleId="854">
    <w:name w:val="Subtitle"/>
    <w:basedOn w:val="829"/>
    <w:next w:val="829"/>
    <w:link w:val="855"/>
    <w:uiPriority w:val="11"/>
    <w:qFormat/>
    <w:pPr>
      <w:spacing w:before="200" w:after="200"/>
    </w:pPr>
    <w:rPr>
      <w:sz w:val="24"/>
      <w:szCs w:val="24"/>
    </w:rPr>
  </w:style>
  <w:style w:type="character" w:styleId="855" w:customStyle="1">
    <w:name w:val="Altyazı Char"/>
    <w:basedOn w:val="839"/>
    <w:link w:val="854"/>
    <w:uiPriority w:val="11"/>
    <w:rPr>
      <w:sz w:val="24"/>
      <w:szCs w:val="24"/>
    </w:rPr>
  </w:style>
  <w:style w:type="paragraph" w:styleId="856">
    <w:name w:val="Quote"/>
    <w:basedOn w:val="829"/>
    <w:next w:val="829"/>
    <w:link w:val="857"/>
    <w:uiPriority w:val="29"/>
    <w:qFormat/>
    <w:pPr>
      <w:ind w:left="720" w:right="720"/>
    </w:pPr>
    <w:rPr>
      <w:i/>
    </w:rPr>
  </w:style>
  <w:style w:type="character" w:styleId="857" w:customStyle="1">
    <w:name w:val="Alıntı Char"/>
    <w:link w:val="856"/>
    <w:uiPriority w:val="29"/>
    <w:rPr>
      <w:i/>
    </w:rPr>
  </w:style>
  <w:style w:type="paragraph" w:styleId="858">
    <w:name w:val="Intense Quote"/>
    <w:basedOn w:val="829"/>
    <w:next w:val="829"/>
    <w:link w:val="8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9" w:customStyle="1">
    <w:name w:val="Güçlü Alıntı Char"/>
    <w:link w:val="858"/>
    <w:uiPriority w:val="30"/>
    <w:rPr>
      <w:i/>
    </w:rPr>
  </w:style>
  <w:style w:type="character" w:styleId="860" w:customStyle="1">
    <w:name w:val="Header Char"/>
    <w:basedOn w:val="839"/>
    <w:uiPriority w:val="99"/>
  </w:style>
  <w:style w:type="character" w:styleId="861" w:customStyle="1">
    <w:name w:val="Footer Char"/>
    <w:basedOn w:val="839"/>
    <w:uiPriority w:val="99"/>
  </w:style>
  <w:style w:type="paragraph" w:styleId="862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63" w:customStyle="1">
    <w:name w:val="Caption Char"/>
    <w:uiPriority w:val="99"/>
  </w:style>
  <w:style w:type="table" w:styleId="864" w:customStyle="1">
    <w:name w:val="Table Grid Light"/>
    <w:basedOn w:val="84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5">
    <w:name w:val="Plain Table 1"/>
    <w:basedOn w:val="84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6">
    <w:name w:val="Plain Table 2"/>
    <w:basedOn w:val="84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7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8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0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92" w:customStyle="1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93" w:customStyle="1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94" w:customStyle="1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95" w:customStyle="1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96" w:customStyle="1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97" w:customStyle="1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98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00" w:customStyle="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01" w:customStyle="1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02" w:customStyle="1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03" w:customStyle="1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04" w:customStyle="1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05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6" w:customStyle="1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07" w:customStyle="1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8" w:customStyle="1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9" w:customStyle="1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10" w:customStyle="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11" w:customStyle="1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12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7" w:customStyle="1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28" w:customStyle="1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29" w:customStyle="1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30" w:customStyle="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31" w:customStyle="1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32" w:customStyle="1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33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8" w:customStyle="1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9" w:customStyle="1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0" w:customStyle="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1" w:customStyle="1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2" w:customStyle="1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3" w:customStyle="1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4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5" w:customStyle="1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56" w:customStyle="1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57" w:customStyle="1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58" w:customStyle="1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59" w:customStyle="1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60" w:customStyle="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61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 w:customStyle="1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 w:customStyle="1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Lined - Accent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9" w:customStyle="1">
    <w:name w:val="Lined - Accent 1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70" w:customStyle="1">
    <w:name w:val="Lined - Accent 2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71" w:customStyle="1">
    <w:name w:val="Lined - Accent 3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72" w:customStyle="1">
    <w:name w:val="Lined - Accent 4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3" w:customStyle="1">
    <w:name w:val="Lined - Accent 5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74" w:customStyle="1">
    <w:name w:val="Lined - Accent 6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5" w:customStyle="1">
    <w:name w:val="Bordered &amp; Lined - Accent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6" w:customStyle="1">
    <w:name w:val="Bordered &amp; Lined - Accent 1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77" w:customStyle="1">
    <w:name w:val="Bordered &amp; Lined - Accent 2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78" w:customStyle="1">
    <w:name w:val="Bordered &amp; Lined - Accent 3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79" w:customStyle="1">
    <w:name w:val="Bordered &amp; Lined - Accent 4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80" w:customStyle="1">
    <w:name w:val="Bordered &amp; Lined - Accent 5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81" w:customStyle="1">
    <w:name w:val="Bordered &amp; Lined - Accent 6"/>
    <w:basedOn w:val="840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82" w:customStyle="1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83" w:customStyle="1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84" w:customStyle="1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85" w:customStyle="1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86" w:customStyle="1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87" w:customStyle="1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88" w:customStyle="1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89">
    <w:name w:val="footnote text"/>
    <w:basedOn w:val="829"/>
    <w:link w:val="990"/>
    <w:uiPriority w:val="99"/>
    <w:semiHidden/>
    <w:unhideWhenUsed/>
    <w:pPr>
      <w:spacing w:after="40" w:line="240" w:lineRule="auto"/>
    </w:pPr>
    <w:rPr>
      <w:sz w:val="18"/>
    </w:rPr>
  </w:style>
  <w:style w:type="character" w:styleId="990" w:customStyle="1">
    <w:name w:val="Dipnot Metni Char"/>
    <w:link w:val="989"/>
    <w:uiPriority w:val="99"/>
    <w:rPr>
      <w:sz w:val="18"/>
    </w:rPr>
  </w:style>
  <w:style w:type="character" w:styleId="991">
    <w:name w:val="footnote reference"/>
    <w:basedOn w:val="839"/>
    <w:uiPriority w:val="99"/>
    <w:unhideWhenUsed/>
    <w:rPr>
      <w:vertAlign w:val="superscript"/>
    </w:rPr>
  </w:style>
  <w:style w:type="paragraph" w:styleId="992">
    <w:name w:val="endnote text"/>
    <w:basedOn w:val="829"/>
    <w:link w:val="993"/>
    <w:uiPriority w:val="99"/>
    <w:semiHidden/>
    <w:unhideWhenUsed/>
    <w:pPr>
      <w:spacing w:after="0" w:line="240" w:lineRule="auto"/>
    </w:pPr>
    <w:rPr>
      <w:sz w:val="20"/>
    </w:rPr>
  </w:style>
  <w:style w:type="character" w:styleId="993" w:customStyle="1">
    <w:name w:val="Son Not Metni Char"/>
    <w:link w:val="992"/>
    <w:uiPriority w:val="99"/>
    <w:rPr>
      <w:sz w:val="20"/>
    </w:rPr>
  </w:style>
  <w:style w:type="character" w:styleId="994">
    <w:name w:val="endnote reference"/>
    <w:basedOn w:val="839"/>
    <w:uiPriority w:val="99"/>
    <w:semiHidden/>
    <w:unhideWhenUsed/>
    <w:rPr>
      <w:vertAlign w:val="superscript"/>
    </w:rPr>
  </w:style>
  <w:style w:type="paragraph" w:styleId="995">
    <w:name w:val="toc 4"/>
    <w:basedOn w:val="829"/>
    <w:next w:val="829"/>
    <w:uiPriority w:val="39"/>
    <w:unhideWhenUsed/>
    <w:pPr>
      <w:ind w:left="850"/>
      <w:spacing w:after="57"/>
    </w:pPr>
  </w:style>
  <w:style w:type="paragraph" w:styleId="996">
    <w:name w:val="toc 5"/>
    <w:basedOn w:val="829"/>
    <w:next w:val="829"/>
    <w:uiPriority w:val="39"/>
    <w:unhideWhenUsed/>
    <w:pPr>
      <w:ind w:left="1134"/>
      <w:spacing w:after="57"/>
    </w:pPr>
  </w:style>
  <w:style w:type="paragraph" w:styleId="997">
    <w:name w:val="toc 6"/>
    <w:basedOn w:val="829"/>
    <w:next w:val="829"/>
    <w:uiPriority w:val="39"/>
    <w:unhideWhenUsed/>
    <w:pPr>
      <w:ind w:left="1417"/>
      <w:spacing w:after="57"/>
    </w:pPr>
  </w:style>
  <w:style w:type="paragraph" w:styleId="998">
    <w:name w:val="toc 7"/>
    <w:basedOn w:val="829"/>
    <w:next w:val="829"/>
    <w:uiPriority w:val="39"/>
    <w:unhideWhenUsed/>
    <w:pPr>
      <w:ind w:left="1701"/>
      <w:spacing w:after="57"/>
    </w:pPr>
  </w:style>
  <w:style w:type="paragraph" w:styleId="999">
    <w:name w:val="toc 8"/>
    <w:basedOn w:val="829"/>
    <w:next w:val="829"/>
    <w:uiPriority w:val="39"/>
    <w:unhideWhenUsed/>
    <w:pPr>
      <w:ind w:left="1984"/>
      <w:spacing w:after="57"/>
    </w:pPr>
  </w:style>
  <w:style w:type="paragraph" w:styleId="1000">
    <w:name w:val="toc 9"/>
    <w:basedOn w:val="829"/>
    <w:next w:val="829"/>
    <w:uiPriority w:val="39"/>
    <w:unhideWhenUsed/>
    <w:pPr>
      <w:ind w:left="2268"/>
      <w:spacing w:after="57"/>
    </w:pPr>
  </w:style>
  <w:style w:type="paragraph" w:styleId="1001">
    <w:name w:val="table of figures"/>
    <w:basedOn w:val="829"/>
    <w:next w:val="829"/>
    <w:uiPriority w:val="99"/>
    <w:unhideWhenUsed/>
    <w:pPr>
      <w:spacing w:after="0"/>
    </w:pPr>
  </w:style>
  <w:style w:type="character" w:styleId="1002" w:customStyle="1">
    <w:name w:val="Başlık 1 Char"/>
    <w:basedOn w:val="839"/>
    <w:link w:val="830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1003" w:customStyle="1">
    <w:name w:val="Başlık 2 Char"/>
    <w:basedOn w:val="839"/>
    <w:link w:val="831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1004">
    <w:name w:val="Hyperlink"/>
    <w:uiPriority w:val="99"/>
    <w:unhideWhenUsed/>
    <w:rPr>
      <w:color w:val="0000ff"/>
      <w:u w:val="single"/>
    </w:rPr>
  </w:style>
  <w:style w:type="paragraph" w:styleId="1005">
    <w:name w:val="toc 1"/>
    <w:basedOn w:val="829"/>
    <w:next w:val="829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1006">
    <w:name w:val="toc 2"/>
    <w:basedOn w:val="829"/>
    <w:next w:val="829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1007">
    <w:name w:val="List Paragraph"/>
    <w:basedOn w:val="829"/>
    <w:uiPriority w:val="34"/>
    <w:qFormat/>
    <w:pPr>
      <w:contextualSpacing/>
      <w:ind w:left="720"/>
      <w:spacing w:line="254" w:lineRule="auto"/>
    </w:pPr>
  </w:style>
  <w:style w:type="paragraph" w:styleId="1008">
    <w:name w:val="TOC Heading"/>
    <w:basedOn w:val="830"/>
    <w:next w:val="829"/>
    <w:uiPriority w:val="39"/>
    <w:semiHidden/>
    <w:unhideWhenUsed/>
    <w:qFormat/>
    <w:pPr>
      <w:jc w:val="both"/>
      <w:spacing w:before="240" w:line="256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tr-TR"/>
    </w:rPr>
  </w:style>
  <w:style w:type="table" w:styleId="1009">
    <w:name w:val="Table Grid"/>
    <w:basedOn w:val="84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0">
    <w:name w:val="Header"/>
    <w:basedOn w:val="829"/>
    <w:link w:val="1011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11" w:customStyle="1">
    <w:name w:val="Üst Bilgi Char"/>
    <w:basedOn w:val="839"/>
    <w:link w:val="1010"/>
    <w:uiPriority w:val="99"/>
  </w:style>
  <w:style w:type="paragraph" w:styleId="1012">
    <w:name w:val="Footer"/>
    <w:basedOn w:val="829"/>
    <w:link w:val="1013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13" w:customStyle="1">
    <w:name w:val="Alt Bilgi Char"/>
    <w:basedOn w:val="839"/>
    <w:link w:val="1012"/>
    <w:uiPriority w:val="99"/>
  </w:style>
  <w:style w:type="character" w:styleId="1014" w:customStyle="1">
    <w:name w:val="Başlık 3 Char"/>
    <w:basedOn w:val="839"/>
    <w:link w:val="832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numbering" w:styleId="1015" w:customStyle="1">
    <w:name w:val="Stil1"/>
    <w:uiPriority w:val="99"/>
    <w:pPr>
      <w:numPr>
        <w:numId w:val="30"/>
      </w:numPr>
    </w:pPr>
  </w:style>
  <w:style w:type="paragraph" w:styleId="1016">
    <w:name w:val="toc 3"/>
    <w:basedOn w:val="829"/>
    <w:next w:val="829"/>
    <w:uiPriority w:val="39"/>
    <w:unhideWhenUsed/>
    <w:pPr>
      <w:ind w:left="440"/>
      <w:spacing w:after="100"/>
    </w:pPr>
  </w:style>
  <w:style w:type="paragraph" w:styleId="1017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11</cp:revision>
  <dcterms:created xsi:type="dcterms:W3CDTF">2024-11-18T09:39:00Z</dcterms:created>
  <dcterms:modified xsi:type="dcterms:W3CDTF">2024-12-05T11:51:23Z</dcterms:modified>
</cp:coreProperties>
</file>